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header1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body>
    <w:bookmarkStart w:id="0" w:name="_top"/>
    <w:bookmarkEnd w:id="0"/>
    <w:p>
      <w:pPr>
        <w:pStyle w:val="0"/>
        <w:widowControl w:val="off"/>
        <w:jc w:val="center"/>
      </w:pPr>
      <w:bookmarkStart w:id="1" w:name="_top"/>
      <w:bookmarkEnd w:id="1"/>
      <w:bookmarkStart w:id="2" w:name="_top"/>
      <w:bookmarkEnd w:id="2"/>
      <w:r>
        <w:rPr>
          <w:rFonts w:ascii="Times New Roman"/>
          <w:b/>
          <w:sz w:val="36"/>
        </w:rPr>
        <w:t>Terms of Reference</w:t>
      </w:r>
    </w:p>
    <w:p>
      <w:pPr>
        <w:pStyle w:val="0"/>
        <w:widowControl w:val="off"/>
        <w:jc w:val="center"/>
      </w:pPr>
      <w:r>
        <w:rPr>
          <w:rFonts w:ascii="Times New Roman"/>
          <w:b/>
          <w:sz w:val="24"/>
        </w:rPr>
        <w:t>for the KAF’s Young Professionals on Africa (YPA)</w:t>
      </w:r>
    </w:p>
    <w:p>
      <w:pPr>
        <w:pStyle w:val="0"/>
        <w:widowControl w:val="off"/>
        <w:jc w:val="center"/>
        <w:rPr>
          <w:rFonts w:ascii="Times New Roman"/>
          <w:b/>
          <w:color w:val="000000"/>
          <w:sz w:val="24"/>
        </w:rPr>
      </w:pPr>
    </w:p>
    <w:p>
      <w:pPr>
        <w:pStyle w:val="0"/>
        <w:widowControl w:val="off"/>
        <w:jc w:val="center"/>
        <w:rPr>
          <w:rFonts w:ascii="Times New Roman"/>
          <w:b/>
          <w:color w:val="000000"/>
          <w:sz w:val="24"/>
        </w:rPr>
      </w:pPr>
    </w:p>
    <w:p>
      <w:pPr>
        <w:pStyle w:val="0"/>
        <w:widowControl w:val="off"/>
        <w:jc w:val="center"/>
        <w:rPr>
          <w:rFonts w:ascii="Times New Roman"/>
          <w:b/>
          <w:color w:val="000000"/>
          <w:sz w:val="24"/>
        </w:rPr>
      </w:pPr>
    </w:p>
    <w:p>
      <w:pPr>
        <w:pStyle w:val="0"/>
        <w:widowControl w:val="off"/>
      </w:pPr>
      <w:r>
        <w:rPr>
          <w:rFonts w:ascii="Times New Roman"/>
          <w:b/>
          <w:sz w:val="24"/>
        </w:rPr>
        <w:t xml:space="preserve">I. General Information </w:t>
      </w:r>
    </w:p>
    <w:tbl>
      <w:tblPr>
        <w:tblOverlap w:val="never"/>
        <w:tblW w:w="9020" w:type="dxa"/>
        <w:tblBorders>
          <w:top w:val="none" w:color="000000" w:sz="3"/>
          <w:left w:val="none" w:color="000000" w:sz="3"/>
          <w:bottom w:val="none" w:color="000000" w:sz="3"/>
          <w:right w:val="none" w:color="000000" w:sz="3"/>
        </w:tblBorders>
        <w:shd w:val="clear" w:color="000000" w:fill="ffffff"/>
        <w:tblLayout w:type="fixed"/>
        <w:tblCellMar>
          <w:top w:w="15" w:type="dxa"/>
          <w:left w:w="15" w:type="dxa"/>
          <w:bottom w:w="15" w:type="dxa"/>
          <w:right w:w="15" w:type="dxa"/>
        </w:tblCellMar>
      </w:tblPr>
      <w:tblGrid>
        <w:gridCol w:w="9020"/>
      </w:tblGrid>
      <w:tr>
        <w:trPr>
          <w:trHeight w:val="2529"/>
        </w:trPr>
        <w:tc>
          <w:tcPr>
            <w:tcW w:w="9020" w:type="dxa"/>
            <w:tcBorders>
              <w:top w:val="single" w:color="000000" w:sz="2"/>
              <w:left w:val="single" w:color="000000" w:sz="2"/>
              <w:bottom w:val="single" w:color="000000" w:sz="2"/>
              <w:right w:val="single" w:color="000000" w:sz="2"/>
            </w:tcBorders>
            <w:shd w:val="clear" w:fill="ffffff"/>
            <w:tcMar>
              <w:top w:w="28" w:type="dxa"/>
              <w:left w:w="102" w:type="dxa"/>
              <w:bottom w:w="28" w:type="dxa"/>
              <w:right w:w="102" w:type="dxa"/>
            </w:tcMar>
            <w:vAlign w:val="center"/>
          </w:tcPr>
          <w:p>
            <w:pPr>
              <w:pStyle w:val="9"/>
              <w:widowControl w:val="off"/>
              <w:ind w:left="720" w:hanging="360"/>
              <w:numPr>
                <w:numId w:val="4"/>
                <w:ilvl w:val="0"/>
              </w:numPr>
            </w:pPr>
            <w:r>
              <w:rPr>
                <w:rFonts w:ascii="Times New Roman"/>
                <w:b/>
                <w:sz w:val="24"/>
              </w:rPr>
              <w:t xml:space="preserve">Sector of Assignment: </w:t>
            </w:r>
            <w:r>
              <w:rPr>
                <w:rFonts w:ascii="Times New Roman"/>
                <w:sz w:val="24"/>
              </w:rPr>
              <w:t>TRADE IN SERVICES</w:t>
            </w:r>
          </w:p>
          <w:p>
            <w:pPr>
              <w:pStyle w:val="9"/>
              <w:widowControl w:val="off"/>
              <w:ind w:left="720" w:hanging="360"/>
              <w:numPr>
                <w:numId w:val="4"/>
                <w:ilvl w:val="0"/>
              </w:numPr>
            </w:pPr>
            <w:r>
              <w:rPr>
                <w:rFonts w:ascii="Times New Roman"/>
                <w:b/>
                <w:sz w:val="24"/>
              </w:rPr>
              <w:t xml:space="preserve">Title: </w:t>
            </w:r>
            <w:r>
              <w:rPr>
                <w:rFonts w:ascii="Times New Roman"/>
                <w:sz w:val="24"/>
              </w:rPr>
              <w:t xml:space="preserve">YOUNG PROFESSIONAL ASSOCIATE </w:t>
            </w:r>
            <w:r>
              <w:rPr>
                <w:rFonts w:ascii="Times New Roman"/>
                <w:sz w:val="24"/>
              </w:rPr>
              <w:t>–</w:t>
            </w:r>
            <w:r>
              <w:rPr>
                <w:rFonts w:ascii="Times New Roman"/>
                <w:sz w:val="24"/>
              </w:rPr>
              <w:t xml:space="preserve"> TRADE IN SERVICES</w:t>
            </w:r>
          </w:p>
          <w:p>
            <w:pPr>
              <w:pStyle w:val="9"/>
              <w:widowControl w:val="off"/>
              <w:ind w:left="720" w:hanging="360"/>
              <w:numPr>
                <w:numId w:val="4"/>
                <w:ilvl w:val="0"/>
              </w:numPr>
            </w:pPr>
            <w:r>
              <w:rPr>
                <w:rFonts w:ascii="Times New Roman"/>
                <w:b/>
                <w:sz w:val="24"/>
              </w:rPr>
              <w:t xml:space="preserve">(Equivalent) Grade: </w:t>
            </w:r>
            <w:r>
              <w:rPr>
                <w:rFonts w:ascii="Times New Roman"/>
                <w:sz w:val="24"/>
              </w:rPr>
              <w:t>P1</w:t>
            </w:r>
          </w:p>
          <w:p>
            <w:pPr>
              <w:pStyle w:val="9"/>
              <w:widowControl w:val="off"/>
              <w:ind w:left="720" w:hanging="360"/>
              <w:numPr>
                <w:numId w:val="4"/>
                <w:ilvl w:val="0"/>
              </w:numPr>
            </w:pPr>
            <w:r>
              <w:rPr>
                <w:rFonts w:ascii="Times New Roman"/>
                <w:b/>
                <w:sz w:val="24"/>
              </w:rPr>
              <w:t xml:space="preserve">Country: </w:t>
            </w:r>
            <w:r>
              <w:rPr>
                <w:rFonts w:ascii="Times New Roman"/>
                <w:sz w:val="24"/>
              </w:rPr>
              <w:t>GHANA</w:t>
            </w:r>
          </w:p>
          <w:p>
            <w:pPr>
              <w:pStyle w:val="9"/>
              <w:widowControl w:val="off"/>
              <w:ind w:left="720" w:hanging="360"/>
              <w:numPr>
                <w:numId w:val="4"/>
                <w:ilvl w:val="0"/>
              </w:numPr>
            </w:pPr>
            <w:r>
              <w:rPr>
                <w:rFonts w:ascii="Times New Roman"/>
                <w:b/>
                <w:sz w:val="24"/>
              </w:rPr>
              <w:t xml:space="preserve">Duty Station(city): </w:t>
            </w:r>
            <w:r>
              <w:rPr>
                <w:rFonts w:ascii="Times New Roman"/>
                <w:sz w:val="24"/>
              </w:rPr>
              <w:t>ACCRA</w:t>
            </w:r>
          </w:p>
          <w:p>
            <w:pPr>
              <w:pStyle w:val="9"/>
              <w:widowControl w:val="off"/>
              <w:ind w:left="720" w:hanging="360"/>
              <w:numPr>
                <w:numId w:val="4"/>
                <w:ilvl w:val="0"/>
              </w:numPr>
            </w:pPr>
            <w:r>
              <w:rPr>
                <w:rFonts w:ascii="Times New Roman"/>
                <w:b/>
                <w:sz w:val="24"/>
              </w:rPr>
              <w:t xml:space="preserve">Agency: </w:t>
            </w:r>
            <w:r>
              <w:rPr>
                <w:rFonts w:ascii="Times New Roman"/>
                <w:sz w:val="24"/>
              </w:rPr>
              <w:t>AFRICAN CONTINENTAL FREE TRADE AREA (AfCFTA) SECRETARIAT</w:t>
            </w:r>
          </w:p>
          <w:p>
            <w:pPr>
              <w:pStyle w:val="9"/>
              <w:widowControl w:val="off"/>
              <w:ind w:left="0"/>
              <w:rPr>
                <w:rFonts w:ascii="Times New Roman"/>
                <w:b/>
                <w:color w:val="000000"/>
                <w:sz w:val="24"/>
              </w:rPr>
            </w:pPr>
          </w:p>
        </w:tc>
      </w:tr>
    </w:tbl>
    <w:p>
      <w:pPr>
        <w:pStyle w:val="0"/>
        <w:widowControl w:val="off"/>
      </w:pPr>
    </w:p>
    <w:p>
      <w:pPr>
        <w:pStyle w:val="0"/>
        <w:widowControl w:val="off"/>
        <w:rPr>
          <w:rFonts w:ascii="Times New Roman"/>
          <w:color w:val="000000"/>
        </w:rPr>
      </w:pPr>
    </w:p>
    <w:p>
      <w:pPr>
        <w:pStyle w:val="0"/>
        <w:widowControl w:val="off"/>
      </w:pPr>
      <w:r>
        <w:rPr>
          <w:rFonts w:ascii="Times New Roman"/>
          <w:b/>
          <w:sz w:val="24"/>
        </w:rPr>
        <w:t>II. Supervision</w:t>
      </w:r>
    </w:p>
    <w:tbl>
      <w:tblPr>
        <w:tblOverlap w:val="never"/>
        <w:tblW w:w="9020" w:type="dxa"/>
        <w:tblBorders>
          <w:top w:val="none" w:color="000000" w:sz="3"/>
          <w:left w:val="none" w:color="000000" w:sz="3"/>
          <w:bottom w:val="none" w:color="000000" w:sz="3"/>
          <w:right w:val="none" w:color="000000" w:sz="3"/>
        </w:tblBorders>
        <w:shd w:val="clear" w:color="000000" w:fill="ffffff"/>
        <w:tblLayout w:type="fixed"/>
        <w:tblCellMar>
          <w:top w:w="15" w:type="dxa"/>
          <w:left w:w="15" w:type="dxa"/>
          <w:bottom w:w="15" w:type="dxa"/>
          <w:right w:w="15" w:type="dxa"/>
        </w:tblCellMar>
      </w:tblPr>
      <w:tblGrid>
        <w:gridCol w:w="9020"/>
      </w:tblGrid>
      <w:tr>
        <w:trPr>
          <w:trHeight w:val="6456"/>
        </w:trPr>
        <w:tc>
          <w:tcPr>
            <w:tcW w:w="9020" w:type="dxa"/>
            <w:tcBorders>
              <w:top w:val="single" w:color="000000" w:sz="2"/>
              <w:left w:val="single" w:color="000000" w:sz="2"/>
              <w:bottom w:val="single" w:color="000000" w:sz="2"/>
              <w:right w:val="single" w:color="000000" w:sz="2"/>
            </w:tcBorders>
            <w:shd w:val="clear" w:fill="ffffff"/>
            <w:tcMar>
              <w:top w:w="28" w:type="dxa"/>
              <w:left w:w="102" w:type="dxa"/>
              <w:bottom w:w="28" w:type="dxa"/>
              <w:right w:w="102" w:type="dxa"/>
            </w:tcMar>
            <w:vAlign w:val="center"/>
          </w:tcPr>
          <w:p>
            <w:pPr>
              <w:pStyle w:val="0"/>
              <w:widowControl w:val="off"/>
              <w:rPr>
                <w:rFonts w:ascii="Times New Roman"/>
                <w:color w:val="000000"/>
                <w:sz w:val="24"/>
              </w:rPr>
            </w:pPr>
          </w:p>
          <w:p>
            <w:pPr>
              <w:pStyle w:val="0"/>
              <w:widowControl w:val="off"/>
            </w:pPr>
            <w:r>
              <w:rPr>
                <w:rFonts w:ascii="Times New Roman"/>
                <w:b/>
                <w:sz w:val="24"/>
              </w:rPr>
              <w:t xml:space="preserve">Title of Supervisor: </w:t>
            </w:r>
            <w:r>
              <w:rPr>
                <w:rFonts w:ascii="Times New Roman"/>
                <w:sz w:val="24"/>
              </w:rPr>
              <w:t>DIRECTOR OF TRADE IN SERVICES, INVESTMENT, INTELLECTUAL PROPERTY RIGHTS AND DIGITAL TRADE</w:t>
            </w:r>
          </w:p>
          <w:p>
            <w:pPr>
              <w:pStyle w:val="0"/>
              <w:widowControl w:val="off"/>
              <w:rPr>
                <w:rFonts w:ascii="Times New Roman"/>
                <w:color w:val="000000"/>
                <w:sz w:val="24"/>
              </w:rPr>
            </w:pPr>
          </w:p>
          <w:p>
            <w:pPr>
              <w:pStyle w:val="0"/>
              <w:widowControl w:val="off"/>
            </w:pPr>
            <w:r>
              <w:rPr>
                <w:rFonts w:ascii="Times New Roman"/>
                <w:b/>
                <w:sz w:val="24"/>
              </w:rPr>
              <w:t xml:space="preserve">Content and Methodology of Supervision: </w:t>
            </w:r>
          </w:p>
          <w:p>
            <w:pPr>
              <w:pStyle w:val="0"/>
              <w:widowControl w:val="off"/>
              <w:rPr>
                <w:rFonts w:ascii="Times New Roman"/>
                <w:color w:val="000000"/>
                <w:sz w:val="24"/>
              </w:rPr>
            </w:pPr>
          </w:p>
          <w:p>
            <w:pPr>
              <w:pStyle w:val="0"/>
              <w:widowControl w:val="off"/>
            </w:pPr>
            <w:r>
              <w:rPr>
                <w:rFonts w:ascii="Times New Roman"/>
                <w:sz w:val="24"/>
              </w:rPr>
              <w:t>The Young Professional Associate (YPA) will work under the direct supervision and guidance of the Director. Supervision will be undertaken through the following mechanisms:</w:t>
            </w:r>
          </w:p>
          <w:p>
            <w:pPr>
              <w:pStyle w:val="0"/>
              <w:widowControl w:val="off"/>
              <w:rPr>
                <w:rFonts w:ascii="Times New Roman"/>
                <w:color w:val="000000"/>
                <w:sz w:val="24"/>
              </w:rPr>
            </w:pPr>
          </w:p>
          <w:p>
            <w:pPr>
              <w:pStyle w:val="0"/>
              <w:widowControl w:val="off"/>
              <w:ind w:left="720" w:hanging="360"/>
              <w:numPr>
                <w:numId w:val="5"/>
                <w:ilvl w:val="0"/>
              </w:numPr>
            </w:pPr>
            <w:r>
              <w:rPr>
                <w:rFonts w:ascii="Times New Roman"/>
                <w:b/>
                <w:sz w:val="24"/>
              </w:rPr>
              <w:t>Work Planning and Task Review:</w:t>
            </w:r>
            <w:r>
              <w:rPr>
                <w:rFonts w:ascii="Times New Roman"/>
                <w:sz w:val="24"/>
              </w:rPr>
              <w:t xml:space="preserve"> Assignment of specific tasks and deliverables with agreed timelines, supported by regular review and feedback from the Supervisor and relevant officers within the Trade in Services Division. </w:t>
            </w:r>
          </w:p>
          <w:p>
            <w:pPr>
              <w:pStyle w:val="0"/>
              <w:widowControl w:val="off"/>
              <w:ind w:left="360"/>
              <w:rPr>
                <w:rFonts w:ascii="Times New Roman"/>
                <w:color w:val="000000"/>
                <w:sz w:val="24"/>
              </w:rPr>
            </w:pPr>
          </w:p>
          <w:p>
            <w:pPr>
              <w:pStyle w:val="0"/>
              <w:widowControl w:val="off"/>
              <w:ind w:left="720" w:hanging="360"/>
              <w:numPr>
                <w:numId w:val="5"/>
                <w:ilvl w:val="0"/>
              </w:numPr>
            </w:pPr>
            <w:r>
              <w:rPr>
                <w:rFonts w:ascii="Times New Roman"/>
                <w:b/>
                <w:sz w:val="24"/>
              </w:rPr>
              <w:t>Monthly Supervision Meetings:</w:t>
            </w:r>
            <w:r>
              <w:rPr>
                <w:rFonts w:ascii="Times New Roman"/>
                <w:sz w:val="24"/>
              </w:rPr>
              <w:t xml:space="preserve"> Monthly meetings with the Supervisor to review progress against assigned tasks and deliverables, discuss priorities for the following month, and address any challenges requiring guidance. </w:t>
            </w:r>
          </w:p>
          <w:p>
            <w:pPr>
              <w:pStyle w:val="0"/>
              <w:widowControl w:val="off"/>
              <w:rPr>
                <w:rFonts w:ascii="Times New Roman"/>
                <w:color w:val="000000"/>
                <w:sz w:val="24"/>
              </w:rPr>
            </w:pPr>
          </w:p>
          <w:p>
            <w:pPr>
              <w:pStyle w:val="0"/>
              <w:widowControl w:val="off"/>
              <w:ind w:left="720" w:hanging="360"/>
              <w:numPr>
                <w:numId w:val="5"/>
                <w:ilvl w:val="0"/>
              </w:numPr>
            </w:pPr>
            <w:r>
              <w:rPr>
                <w:rFonts w:ascii="Times New Roman"/>
                <w:b/>
                <w:sz w:val="24"/>
              </w:rPr>
              <w:t>Progress Reporting:</w:t>
            </w:r>
            <w:r>
              <w:rPr>
                <w:rFonts w:ascii="Times New Roman"/>
                <w:sz w:val="24"/>
              </w:rPr>
              <w:t xml:space="preserve"> Preparation of brief periodic progress updates on activities undertaken and deliverables completed, including inputs to the mid-term and final performance evaluations required under the YPA Programme. </w:t>
            </w:r>
          </w:p>
          <w:p>
            <w:pPr>
              <w:pStyle w:val="0"/>
              <w:widowControl w:val="off"/>
              <w:rPr>
                <w:rFonts w:ascii="Times New Roman"/>
                <w:color w:val="000000"/>
                <w:sz w:val="24"/>
              </w:rPr>
            </w:pPr>
          </w:p>
          <w:p>
            <w:pPr>
              <w:pStyle w:val="0"/>
              <w:widowControl w:val="off"/>
              <w:ind w:left="720" w:hanging="360"/>
              <w:numPr>
                <w:numId w:val="5"/>
                <w:ilvl w:val="0"/>
              </w:numPr>
            </w:pPr>
            <w:r>
              <w:rPr>
                <w:rFonts w:ascii="Times New Roman"/>
                <w:b/>
                <w:sz w:val="24"/>
              </w:rPr>
              <w:t>Technical Mentoring and Professional Development:</w:t>
            </w:r>
            <w:r>
              <w:rPr>
                <w:rFonts w:ascii="Times New Roman"/>
                <w:sz w:val="24"/>
              </w:rPr>
              <w:t xml:space="preserve"> Structured technical guidance and mentoring through participation in relevant meetings, technical sessions and activities of the Trade in Services Division, with opportunities for feedback and professional learning.</w:t>
            </w:r>
          </w:p>
          <w:p>
            <w:pPr>
              <w:pStyle w:val="0"/>
              <w:widowControl w:val="off"/>
              <w:rPr>
                <w:rFonts w:ascii="Times New Roman"/>
                <w:b/>
                <w:color w:val="000000"/>
                <w:sz w:val="24"/>
              </w:rPr>
            </w:pPr>
          </w:p>
        </w:tc>
      </w:tr>
    </w:tbl>
    <w:p>
      <w:pPr>
        <w:pStyle w:val="0"/>
        <w:widowControl w:val="off"/>
      </w:pPr>
    </w:p>
    <w:p>
      <w:pPr>
        <w:pStyle w:val="0"/>
        <w:widowControl w:val="off"/>
        <w:rPr>
          <w:rFonts w:ascii="Times New Roman"/>
          <w:b/>
          <w:color w:val="000000"/>
          <w:sz w:val="24"/>
        </w:rPr>
      </w:pPr>
    </w:p>
    <w:p>
      <w:pPr>
        <w:pStyle w:val="0"/>
        <w:widowControl w:val="off"/>
        <w:rPr>
          <w:rFonts w:ascii="Times New Roman"/>
          <w:b/>
          <w:color w:val="000000"/>
          <w:sz w:val="24"/>
        </w:rPr>
      </w:pPr>
    </w:p>
    <w:p>
      <w:pPr>
        <w:pStyle w:val="0"/>
        <w:widowControl w:val="off"/>
        <w:rPr>
          <w:rFonts w:ascii="Times New Roman"/>
          <w:b/>
          <w:color w:val="000000"/>
          <w:sz w:val="24"/>
        </w:rPr>
      </w:pPr>
    </w:p>
    <w:p>
      <w:pPr>
        <w:pStyle w:val="0"/>
        <w:widowControl w:val="off"/>
      </w:pPr>
      <w:r>
        <w:rPr>
          <w:rFonts w:ascii="Times New Roman"/>
          <w:b/>
          <w:sz w:val="24"/>
        </w:rPr>
        <w:t xml:space="preserve">III. Assignment Details  </w:t>
      </w:r>
    </w:p>
    <w:tbl>
      <w:tblPr>
        <w:tblOverlap w:val="never"/>
        <w:tblW w:w="9142" w:type="dxa"/>
        <w:tblBorders>
          <w:top w:val="none" w:color="000000" w:sz="3"/>
          <w:left w:val="none" w:color="000000" w:sz="3"/>
          <w:bottom w:val="none" w:color="000000" w:sz="3"/>
          <w:right w:val="none" w:color="000000" w:sz="3"/>
        </w:tblBorders>
        <w:shd w:val="clear" w:color="000000" w:fill="ffffff"/>
        <w:tblLayout w:type="fixed"/>
        <w:tblCellMar>
          <w:top w:w="15" w:type="dxa"/>
          <w:left w:w="15" w:type="dxa"/>
          <w:bottom w:w="15" w:type="dxa"/>
          <w:right w:w="15" w:type="dxa"/>
        </w:tblCellMar>
      </w:tblPr>
      <w:tblGrid>
        <w:gridCol w:w="9142"/>
      </w:tblGrid>
      <w:tr>
        <w:trPr>
          <w:trHeight w:val="2217"/>
        </w:trPr>
        <w:tc>
          <w:tcPr>
            <w:tcW w:w="9142" w:type="dxa"/>
            <w:tcBorders>
              <w:top w:val="single" w:color="000000" w:sz="2"/>
              <w:left w:val="single" w:color="000000" w:sz="2"/>
              <w:bottom w:val="single" w:color="000000" w:sz="2"/>
              <w:right w:val="single" w:color="000000" w:sz="2"/>
            </w:tcBorders>
            <w:shd w:val="clear" w:fill="ffffff"/>
            <w:tcMar>
              <w:top w:w="28" w:type="dxa"/>
              <w:left w:w="102" w:type="dxa"/>
              <w:bottom w:w="28" w:type="dxa"/>
              <w:right w:w="102" w:type="dxa"/>
            </w:tcMar>
            <w:vAlign w:val="top"/>
          </w:tcPr>
          <w:p>
            <w:pPr>
              <w:pStyle w:val="0"/>
              <w:widowControl w:val="off"/>
            </w:pPr>
            <w:r>
              <w:rPr>
                <w:rFonts w:ascii="Times New Roman"/>
                <w:b/>
                <w:sz w:val="24"/>
              </w:rPr>
              <w:t>Task Description:</w:t>
            </w:r>
          </w:p>
          <w:p>
            <w:pPr>
              <w:pStyle w:val="0"/>
              <w:widowControl w:val="off"/>
              <w:rPr>
                <w:rFonts w:ascii="Times New Roman"/>
                <w:color w:val="000000"/>
                <w:sz w:val="24"/>
              </w:rPr>
            </w:pPr>
          </w:p>
          <w:p>
            <w:pPr>
              <w:pStyle w:val="9"/>
              <w:widowControl w:val="off"/>
              <w:ind w:left="720" w:hanging="360"/>
              <w:numPr>
                <w:numId w:val="6"/>
                <w:ilvl w:val="0"/>
              </w:numPr>
            </w:pPr>
            <w:r>
              <w:rPr>
                <w:rFonts w:ascii="Times New Roman"/>
                <w:sz w:val="24"/>
              </w:rPr>
              <w:t>Conduct background research and assist in the preparation and drafting of briefing notes, background papers, presentations, correspondence and other documentation relating to Regulatory Cooperation Frameworks (RCFs), Sectoral and Mutual Recognition Agreements (SMRAs) and other areas of work related to Trade in Services;</w:t>
            </w:r>
          </w:p>
          <w:p>
            <w:pPr>
              <w:pStyle w:val="9"/>
              <w:widowControl w:val="off"/>
              <w:ind w:left="720"/>
              <w:rPr>
                <w:rFonts w:ascii="Times New Roman"/>
                <w:color w:val="000000"/>
                <w:sz w:val="24"/>
              </w:rPr>
            </w:pPr>
          </w:p>
          <w:p>
            <w:pPr>
              <w:pStyle w:val="9"/>
              <w:widowControl w:val="off"/>
              <w:ind w:left="720" w:hanging="360"/>
              <w:numPr>
                <w:numId w:val="6"/>
                <w:ilvl w:val="0"/>
              </w:numPr>
            </w:pPr>
            <w:r>
              <w:rPr>
                <w:rFonts w:ascii="Times New Roman"/>
                <w:sz w:val="24"/>
              </w:rPr>
              <w:t>Support ongoing work on the development, finalisation and implementation of Regulatory Cooperation Frameworks (RCFs), including assisting with the review, consolidation and updating of relevant documents, incorporation of comments and inputs from State Parties, and tracking of outstanding issues and agreed actions;</w:t>
            </w:r>
          </w:p>
          <w:p>
            <w:pPr>
              <w:pStyle w:val="9"/>
              <w:widowControl w:val="off"/>
              <w:rPr>
                <w:rFonts w:ascii="Times New Roman"/>
                <w:color w:val="000000"/>
                <w:sz w:val="24"/>
              </w:rPr>
            </w:pPr>
          </w:p>
          <w:p>
            <w:pPr>
              <w:pStyle w:val="9"/>
              <w:widowControl w:val="off"/>
              <w:ind w:left="720" w:hanging="360"/>
              <w:numPr>
                <w:numId w:val="6"/>
                <w:ilvl w:val="0"/>
              </w:numPr>
            </w:pPr>
            <w:r>
              <w:rPr>
                <w:rFonts w:ascii="Times New Roman"/>
                <w:sz w:val="24"/>
              </w:rPr>
              <w:t>Support work relating to Sectoral and Mutual Recognition Arrangements (SMRAs), including preparations for the consideration and negotiation of the Draft Guidelines for the Development of SMRAs and subsequent work towards the development of SMRAs in relevant services sectors;</w:t>
            </w:r>
          </w:p>
          <w:p>
            <w:pPr>
              <w:pStyle w:val="9"/>
              <w:widowControl w:val="off"/>
              <w:rPr>
                <w:rFonts w:ascii="Times New Roman"/>
                <w:color w:val="000000"/>
                <w:sz w:val="24"/>
              </w:rPr>
            </w:pPr>
          </w:p>
          <w:p>
            <w:pPr>
              <w:pStyle w:val="9"/>
              <w:widowControl w:val="off"/>
              <w:ind w:left="720" w:hanging="360"/>
              <w:numPr>
                <w:numId w:val="6"/>
                <w:ilvl w:val="0"/>
              </w:numPr>
            </w:pPr>
            <w:r>
              <w:rPr>
                <w:rFonts w:ascii="Times New Roman"/>
                <w:sz w:val="24"/>
              </w:rPr>
              <w:t>Assist with the preparation and organisation of meetings, workshops, consultations and other events, including compiling and preparing agendas, presentations, background documents and other supporting materials, and assisting with logistical and administrative arrangements for physical and virtual meetings;</w:t>
            </w:r>
          </w:p>
          <w:p>
            <w:pPr>
              <w:pStyle w:val="0"/>
              <w:widowControl w:val="off"/>
              <w:rPr>
                <w:rFonts w:ascii="Times New Roman"/>
                <w:color w:val="000000"/>
                <w:sz w:val="24"/>
              </w:rPr>
            </w:pPr>
          </w:p>
          <w:p>
            <w:pPr>
              <w:pStyle w:val="9"/>
              <w:widowControl w:val="off"/>
              <w:ind w:left="720" w:hanging="360"/>
              <w:numPr>
                <w:numId w:val="6"/>
                <w:ilvl w:val="0"/>
              </w:numPr>
            </w:pPr>
            <w:r>
              <w:rPr>
                <w:rFonts w:ascii="Times New Roman"/>
                <w:sz w:val="24"/>
              </w:rPr>
              <w:t xml:space="preserve">Support the preparation of meeting notes, minutes and reports, and maintain action trackers to facilitate follow-up on agreed actions and outstanding issues; </w:t>
            </w:r>
          </w:p>
          <w:p>
            <w:pPr>
              <w:pStyle w:val="9"/>
              <w:widowControl w:val="off"/>
              <w:rPr>
                <w:rFonts w:ascii="Times New Roman"/>
                <w:color w:val="000000"/>
                <w:sz w:val="24"/>
              </w:rPr>
            </w:pPr>
          </w:p>
          <w:p>
            <w:pPr>
              <w:pStyle w:val="9"/>
              <w:widowControl w:val="off"/>
              <w:ind w:left="720" w:hanging="360"/>
              <w:numPr>
                <w:numId w:val="6"/>
                <w:ilvl w:val="0"/>
              </w:numPr>
            </w:pPr>
            <w:r>
              <w:rPr>
                <w:rFonts w:ascii="Times New Roman"/>
                <w:sz w:val="24"/>
              </w:rPr>
              <w:t xml:space="preserve">Maintain organised and up-to-date records of relevant documents, submissions, comments, meeting outcomes and other materials relating to RCFs, SMRAs and assigned Trade in Services activities; </w:t>
            </w:r>
          </w:p>
          <w:p>
            <w:pPr>
              <w:pStyle w:val="9"/>
              <w:widowControl w:val="off"/>
              <w:rPr>
                <w:rFonts w:ascii="Times New Roman"/>
                <w:color w:val="000000"/>
                <w:sz w:val="24"/>
              </w:rPr>
            </w:pPr>
          </w:p>
          <w:p>
            <w:pPr>
              <w:pStyle w:val="9"/>
              <w:widowControl w:val="off"/>
              <w:ind w:left="720" w:hanging="360"/>
              <w:numPr>
                <w:numId w:val="6"/>
                <w:ilvl w:val="0"/>
              </w:numPr>
            </w:pPr>
            <w:r>
              <w:rPr>
                <w:rFonts w:ascii="Times New Roman"/>
                <w:sz w:val="24"/>
              </w:rPr>
              <w:t xml:space="preserve">Provide administrative and logistical support for relevant activities of the Division, including supporting correspondence, scheduling and coordination of meetings and consultations; </w:t>
            </w:r>
          </w:p>
          <w:p>
            <w:pPr>
              <w:pStyle w:val="9"/>
              <w:widowControl w:val="off"/>
              <w:rPr>
                <w:rFonts w:ascii="Times New Roman"/>
                <w:color w:val="000000"/>
                <w:sz w:val="24"/>
              </w:rPr>
            </w:pPr>
          </w:p>
          <w:p>
            <w:pPr>
              <w:pStyle w:val="9"/>
              <w:widowControl w:val="off"/>
              <w:ind w:left="720" w:hanging="360"/>
              <w:numPr>
                <w:numId w:val="6"/>
                <w:ilvl w:val="0"/>
              </w:numPr>
            </w:pPr>
            <w:r>
              <w:rPr>
                <w:rFonts w:ascii="Times New Roman"/>
                <w:sz w:val="24"/>
              </w:rPr>
              <w:t xml:space="preserve">Assist in maintaining simple trackers and progress updates on assigned workstreams, including the status of agreed actions and deliverables; </w:t>
            </w:r>
          </w:p>
          <w:p>
            <w:pPr>
              <w:pStyle w:val="9"/>
              <w:widowControl w:val="off"/>
              <w:rPr>
                <w:rFonts w:ascii="Times New Roman"/>
                <w:color w:val="000000"/>
                <w:sz w:val="24"/>
              </w:rPr>
            </w:pPr>
          </w:p>
          <w:p>
            <w:pPr>
              <w:pStyle w:val="9"/>
              <w:widowControl w:val="off"/>
              <w:ind w:left="720" w:hanging="360"/>
              <w:numPr>
                <w:numId w:val="6"/>
                <w:ilvl w:val="0"/>
              </w:numPr>
            </w:pPr>
            <w:r>
              <w:rPr>
                <w:rFonts w:ascii="Times New Roman"/>
                <w:sz w:val="24"/>
              </w:rPr>
              <w:t xml:space="preserve">Provide other research, drafting, programme and administrative support required for the effective day-to-day work of the Trade in Services Division; and </w:t>
            </w:r>
          </w:p>
          <w:p>
            <w:pPr>
              <w:pStyle w:val="9"/>
              <w:widowControl w:val="off"/>
              <w:rPr>
                <w:rFonts w:ascii="Times New Roman"/>
                <w:color w:val="000000"/>
                <w:sz w:val="24"/>
              </w:rPr>
            </w:pPr>
          </w:p>
          <w:p>
            <w:pPr>
              <w:pStyle w:val="9"/>
              <w:widowControl w:val="off"/>
              <w:ind w:left="720" w:hanging="360"/>
              <w:numPr>
                <w:numId w:val="6"/>
                <w:ilvl w:val="0"/>
              </w:numPr>
            </w:pPr>
            <w:r>
              <w:rPr>
                <w:rFonts w:ascii="Times New Roman"/>
                <w:sz w:val="24"/>
              </w:rPr>
              <w:t>Undertake any other related duties as may be assigned by the Supervisor.</w:t>
            </w:r>
          </w:p>
          <w:p>
            <w:pPr>
              <w:pStyle w:val="9"/>
              <w:widowControl w:val="off"/>
              <w:ind w:left="720"/>
              <w:rPr>
                <w:rFonts w:ascii="Times New Roman"/>
                <w:color w:val="000000"/>
                <w:sz w:val="24"/>
              </w:rPr>
            </w:pPr>
          </w:p>
          <w:p>
            <w:pPr>
              <w:pStyle w:val="9"/>
              <w:widowControl w:val="off"/>
              <w:ind w:left="720"/>
              <w:rPr>
                <w:rFonts w:ascii="Times New Roman"/>
                <w:color w:val="000000"/>
                <w:sz w:val="24"/>
              </w:rPr>
            </w:pPr>
          </w:p>
          <w:p>
            <w:pPr>
              <w:pStyle w:val="0"/>
              <w:widowControl w:val="off"/>
            </w:pPr>
            <w:r>
              <w:rPr>
                <w:rFonts w:ascii="Times New Roman"/>
                <w:b/>
                <w:sz w:val="24"/>
              </w:rPr>
              <w:t>Program/Project Description:</w:t>
            </w:r>
            <w:r>
              <w:br/>
            </w:r>
          </w:p>
          <w:p>
            <w:pPr>
              <w:pStyle w:val="0"/>
              <w:widowControl w:val="off"/>
            </w:pPr>
            <w:r>
              <w:rPr>
                <w:rFonts w:ascii="Times New Roman"/>
                <w:sz w:val="24"/>
              </w:rPr>
              <w:t>The assignment will support the day-to-day work of the Trade in Services Division in the implementation of its work programme, with a particular focus on work and activities relating to Regulatory Cooperation Frameworks (RCFs) and Sectoral Mutual Recognition Arrangements (SMRAs).</w:t>
            </w:r>
          </w:p>
          <w:p>
            <w:pPr>
              <w:pStyle w:val="0"/>
              <w:widowControl w:val="off"/>
              <w:rPr>
                <w:rFonts w:ascii="Times New Roman"/>
                <w:color w:val="000000"/>
                <w:sz w:val="24"/>
              </w:rPr>
            </w:pPr>
          </w:p>
          <w:p>
            <w:pPr>
              <w:pStyle w:val="0"/>
              <w:widowControl w:val="off"/>
            </w:pPr>
            <w:r>
              <w:rPr>
                <w:rFonts w:ascii="Times New Roman"/>
                <w:sz w:val="24"/>
              </w:rPr>
              <w:t>The YPA will provide junior-level technical, programme and administrative support to the Division, including background research; assistance with the preparation and drafting of technical and administrative documents; preparation and organisation of meetings and consultations; documentation and follow-up of meetings; maintenance of records and information; tracking of agreed actions and deliverables; and other related support required for the effective implementation of the Division's activities.</w:t>
            </w:r>
          </w:p>
          <w:p>
            <w:pPr>
              <w:pStyle w:val="0"/>
              <w:widowControl w:val="off"/>
              <w:rPr>
                <w:rFonts w:ascii="Times New Roman"/>
                <w:color w:val="000000"/>
                <w:sz w:val="24"/>
              </w:rPr>
            </w:pPr>
          </w:p>
          <w:p>
            <w:pPr>
              <w:pStyle w:val="0"/>
              <w:widowControl w:val="off"/>
            </w:pPr>
            <w:r>
              <w:rPr>
                <w:rFonts w:ascii="Times New Roman"/>
                <w:sz w:val="24"/>
              </w:rPr>
              <w:t>Through the assignment, the YPA will work alongside officers of the Trade in Services Division, gaining practical experience on trade in services, especially in the areas of regulatory cooperation and mutual recognition within the context of the AfCFTA.</w:t>
            </w:r>
          </w:p>
          <w:p>
            <w:pPr>
              <w:pStyle w:val="0"/>
              <w:widowControl w:val="off"/>
              <w:rPr>
                <w:rFonts w:ascii="Times New Roman"/>
                <w:i/>
                <w:color w:val="4f81bd"/>
                <w:sz w:val="22"/>
              </w:rPr>
            </w:pPr>
          </w:p>
          <w:p>
            <w:pPr>
              <w:pStyle w:val="0"/>
              <w:widowControl w:val="off"/>
            </w:pPr>
            <w:r>
              <w:rPr>
                <w:rFonts w:ascii="Times New Roman"/>
                <w:b/>
                <w:sz w:val="24"/>
              </w:rPr>
              <w:t>Results/Expected Outputs</w:t>
            </w:r>
          </w:p>
          <w:p>
            <w:pPr>
              <w:pStyle w:val="0"/>
              <w:widowControl w:val="off"/>
              <w:rPr>
                <w:rFonts w:ascii="Times New Roman"/>
                <w:b/>
                <w:color w:val="000000"/>
                <w:sz w:val="18"/>
              </w:rPr>
            </w:pPr>
          </w:p>
          <w:p>
            <w:pPr>
              <w:pStyle w:val="9"/>
              <w:widowControl w:val="off"/>
              <w:ind w:left="720" w:hanging="360"/>
              <w:numPr>
                <w:numId w:val="7"/>
                <w:ilvl w:val="0"/>
              </w:numPr>
            </w:pPr>
            <w:r>
              <w:rPr>
                <w:rFonts w:ascii="Times New Roman"/>
                <w:sz w:val="24"/>
              </w:rPr>
              <w:t xml:space="preserve">Timely research and drafting support provided for RCFs, SMRAs and other assigned Trade in Services activities, including background notes, briefing materials, presentations and related documentation; </w:t>
            </w:r>
          </w:p>
          <w:p>
            <w:pPr>
              <w:pStyle w:val="0"/>
              <w:widowControl w:val="off"/>
              <w:ind w:left="360"/>
              <w:rPr>
                <w:rFonts w:ascii="Times New Roman"/>
                <w:color w:val="000000"/>
                <w:sz w:val="24"/>
              </w:rPr>
            </w:pPr>
          </w:p>
          <w:p>
            <w:pPr>
              <w:pStyle w:val="9"/>
              <w:widowControl w:val="off"/>
              <w:ind w:left="720" w:hanging="360"/>
              <w:numPr>
                <w:numId w:val="7"/>
                <w:ilvl w:val="0"/>
              </w:numPr>
            </w:pPr>
            <w:r>
              <w:rPr>
                <w:rFonts w:ascii="Times New Roman"/>
                <w:sz w:val="24"/>
              </w:rPr>
              <w:t xml:space="preserve">Draft and working documents relating to RCFs and SMRAs accurately updated, formatted and consolidated, including comments and inputs received from State Parties and relevant stakeholders, as assigned; </w:t>
            </w:r>
          </w:p>
          <w:p>
            <w:pPr>
              <w:pStyle w:val="9"/>
              <w:widowControl w:val="off"/>
              <w:rPr>
                <w:rFonts w:ascii="Times New Roman"/>
                <w:color w:val="000000"/>
                <w:sz w:val="24"/>
              </w:rPr>
            </w:pPr>
          </w:p>
          <w:p>
            <w:pPr>
              <w:pStyle w:val="9"/>
              <w:widowControl w:val="off"/>
              <w:ind w:left="720" w:hanging="360"/>
              <w:numPr>
                <w:numId w:val="7"/>
                <w:ilvl w:val="0"/>
              </w:numPr>
            </w:pPr>
            <w:r>
              <w:rPr>
                <w:rFonts w:ascii="Times New Roman"/>
                <w:sz w:val="24"/>
              </w:rPr>
              <w:t xml:space="preserve">Meetings, workshops and consultations effectively supported, with relevant documentation and materials prepared in a timely manner; </w:t>
            </w:r>
          </w:p>
          <w:p>
            <w:pPr>
              <w:pStyle w:val="9"/>
              <w:widowControl w:val="off"/>
              <w:rPr>
                <w:rFonts w:ascii="Times New Roman"/>
                <w:color w:val="000000"/>
                <w:sz w:val="24"/>
              </w:rPr>
            </w:pPr>
          </w:p>
          <w:p>
            <w:pPr>
              <w:pStyle w:val="9"/>
              <w:widowControl w:val="off"/>
              <w:ind w:left="720" w:hanging="360"/>
              <w:numPr>
                <w:numId w:val="7"/>
                <w:ilvl w:val="0"/>
              </w:numPr>
            </w:pPr>
            <w:r>
              <w:rPr>
                <w:rFonts w:ascii="Times New Roman"/>
                <w:sz w:val="24"/>
              </w:rPr>
              <w:t xml:space="preserve">Meeting records and follow-up documentation prepared, including draft minutes, reports, action points and trackers of agreed follow-up actions; </w:t>
            </w:r>
          </w:p>
          <w:p>
            <w:pPr>
              <w:pStyle w:val="9"/>
              <w:widowControl w:val="off"/>
              <w:rPr>
                <w:rFonts w:ascii="Times New Roman"/>
                <w:color w:val="000000"/>
                <w:sz w:val="24"/>
              </w:rPr>
            </w:pPr>
          </w:p>
          <w:p>
            <w:pPr>
              <w:pStyle w:val="9"/>
              <w:widowControl w:val="off"/>
              <w:ind w:left="720" w:hanging="360"/>
              <w:numPr>
                <w:numId w:val="7"/>
                <w:ilvl w:val="0"/>
              </w:numPr>
            </w:pPr>
            <w:r>
              <w:rPr>
                <w:rFonts w:ascii="Times New Roman"/>
                <w:sz w:val="24"/>
              </w:rPr>
              <w:t xml:space="preserve">Well-organised and up-to-date records and repositories maintained for RCFs, SMRAs and other assigned Trade in Services workstreams; </w:t>
            </w:r>
          </w:p>
          <w:p>
            <w:pPr>
              <w:pStyle w:val="9"/>
              <w:widowControl w:val="off"/>
              <w:rPr>
                <w:rFonts w:ascii="Times New Roman"/>
                <w:color w:val="000000"/>
                <w:sz w:val="24"/>
              </w:rPr>
            </w:pPr>
          </w:p>
          <w:p>
            <w:pPr>
              <w:pStyle w:val="9"/>
              <w:widowControl w:val="off"/>
              <w:ind w:left="720" w:hanging="360"/>
              <w:numPr>
                <w:numId w:val="7"/>
                <w:ilvl w:val="0"/>
              </w:numPr>
            </w:pPr>
            <w:r>
              <w:rPr>
                <w:rFonts w:ascii="Times New Roman"/>
                <w:sz w:val="24"/>
              </w:rPr>
              <w:t xml:space="preserve">Regular progress updates and trackers maintained on assigned activities, deliverables and outstanding actions; and </w:t>
            </w:r>
          </w:p>
          <w:p>
            <w:pPr>
              <w:pStyle w:val="9"/>
              <w:widowControl w:val="off"/>
              <w:rPr>
                <w:rFonts w:ascii="Times New Roman"/>
                <w:color w:val="000000"/>
                <w:sz w:val="24"/>
              </w:rPr>
            </w:pPr>
          </w:p>
          <w:p>
            <w:pPr>
              <w:pStyle w:val="9"/>
              <w:widowControl w:val="off"/>
              <w:ind w:left="720" w:hanging="360"/>
              <w:numPr>
                <w:numId w:val="7"/>
                <w:ilvl w:val="0"/>
              </w:numPr>
            </w:pPr>
            <w:r>
              <w:rPr>
                <w:rFonts w:ascii="Times New Roman"/>
                <w:sz w:val="24"/>
              </w:rPr>
              <w:t>Timely programme and administrative support provided to facilitate the effective delivery of activities of the Trade in Services Division.</w:t>
            </w:r>
          </w:p>
          <w:p>
            <w:pPr>
              <w:pStyle w:val="9"/>
              <w:widowControl w:val="off"/>
              <w:rPr>
                <w:rFonts w:ascii="Times New Roman"/>
                <w:color w:val="000000"/>
                <w:sz w:val="24"/>
              </w:rPr>
            </w:pPr>
          </w:p>
          <w:p>
            <w:pPr>
              <w:pStyle w:val="9"/>
              <w:widowControl w:val="off"/>
              <w:ind w:left="720" w:hanging="360"/>
              <w:numPr>
                <w:numId w:val="7"/>
                <w:ilvl w:val="0"/>
              </w:numPr>
            </w:pPr>
            <w:r>
              <w:rPr>
                <w:rFonts w:ascii="Times New Roman"/>
                <w:sz w:val="24"/>
              </w:rPr>
              <w:t>Enhanced understanding of the AfCFTA trade in services agenda, including the key processes and mechanisms supporting trade in services liberalisation and regulatory cooperation;</w:t>
            </w:r>
          </w:p>
          <w:p>
            <w:pPr>
              <w:pStyle w:val="9"/>
              <w:widowControl w:val="off"/>
              <w:ind w:left="720" w:hanging="360"/>
              <w:rPr>
                <w:rFonts w:ascii="Times New Roman"/>
                <w:color w:val="000000"/>
                <w:sz w:val="24"/>
              </w:rPr>
            </w:pPr>
          </w:p>
          <w:p>
            <w:pPr>
              <w:pStyle w:val="9"/>
              <w:widowControl w:val="off"/>
              <w:ind w:left="720" w:hanging="360"/>
              <w:numPr>
                <w:numId w:val="7"/>
                <w:ilvl w:val="0"/>
              </w:numPr>
            </w:pPr>
            <w:r>
              <w:rPr>
                <w:rFonts w:ascii="Times New Roman"/>
                <w:sz w:val="24"/>
              </w:rPr>
              <w:t>Improved practical knowledge of Regulatory Cooperation Frameworks (RCFs) and Sectoral Mutual Recognition Arrangements (SMRAs) and their role within the AfCFTA framework; and</w:t>
            </w:r>
          </w:p>
          <w:p>
            <w:pPr>
              <w:pStyle w:val="9"/>
              <w:widowControl w:val="off"/>
              <w:rPr>
                <w:rFonts w:ascii="Times New Roman"/>
                <w:color w:val="000000"/>
                <w:sz w:val="24"/>
              </w:rPr>
            </w:pPr>
          </w:p>
          <w:p>
            <w:pPr>
              <w:pStyle w:val="9"/>
              <w:widowControl w:val="off"/>
              <w:ind w:left="720" w:hanging="360"/>
              <w:numPr>
                <w:numId w:val="7"/>
                <w:ilvl w:val="0"/>
              </w:numPr>
            </w:pPr>
            <w:r>
              <w:rPr>
                <w:rFonts w:ascii="Times New Roman"/>
                <w:sz w:val="24"/>
              </w:rPr>
              <w:t>Strengthened professional skills and experience in research, drafting, meeting support, programme coordination and working within a multicultural international organisation.</w:t>
            </w:r>
          </w:p>
        </w:tc>
      </w:tr>
    </w:tbl>
    <w:p>
      <w:pPr>
        <w:pStyle w:val="0"/>
        <w:widowControl w:val="off"/>
        <w:pBdr>
          <w:top w:val="none" w:color="000000" w:sz="2" w:space="31"/>
        </w:pBdr>
      </w:pPr>
    </w:p>
    <w:p>
      <w:pPr>
        <w:pStyle w:val="0"/>
        <w:widowControl w:val="off"/>
        <w:pBdr>
          <w:top w:val="none" w:color="000000" w:sz="2" w:space="31"/>
        </w:pBdr>
        <w:rPr>
          <w:rFonts w:ascii="Times New Roman"/>
          <w:color w:val="000000"/>
        </w:rPr>
      </w:pPr>
    </w:p>
    <w:p>
      <w:pPr>
        <w:pStyle w:val="0"/>
        <w:widowControl w:val="off"/>
        <w:pBdr>
          <w:top w:val="none" w:color="000000" w:sz="2" w:space="31"/>
        </w:pBdr>
      </w:pPr>
      <w:r>
        <w:rPr>
          <w:rFonts w:ascii="Times New Roman"/>
          <w:b/>
          <w:sz w:val="24"/>
        </w:rPr>
        <w:t>IV. Qualifications and Experience</w:t>
      </w:r>
    </w:p>
    <w:tbl>
      <w:tblPr>
        <w:tblOverlap w:val="never"/>
        <w:tblW w:w="9020" w:type="dxa"/>
        <w:tblBorders>
          <w:top w:val="none" w:color="000000" w:sz="3"/>
          <w:left w:val="none" w:color="000000" w:sz="3"/>
          <w:bottom w:val="none" w:color="000000" w:sz="3"/>
          <w:right w:val="none" w:color="000000" w:sz="3"/>
        </w:tblBorders>
        <w:shd w:val="clear" w:color="000000" w:fill="ffffff"/>
        <w:tblLayout w:type="fixed"/>
        <w:tblCellMar>
          <w:top w:w="15" w:type="dxa"/>
          <w:left w:w="15" w:type="dxa"/>
          <w:bottom w:w="15" w:type="dxa"/>
          <w:right w:w="15" w:type="dxa"/>
        </w:tblCellMar>
      </w:tblPr>
      <w:tblGrid>
        <w:gridCol w:w="9020"/>
      </w:tblGrid>
      <w:tr>
        <w:trPr>
          <w:trHeight w:val="1137"/>
        </w:trPr>
        <w:tc>
          <w:tcPr>
            <w:tcW w:w="9020" w:type="dxa"/>
            <w:tcBorders>
              <w:top w:val="single" w:color="000000" w:sz="2"/>
              <w:left w:val="single" w:color="000000" w:sz="2"/>
              <w:bottom w:val="single" w:color="000000" w:sz="2"/>
              <w:right w:val="single" w:color="000000" w:sz="2"/>
            </w:tcBorders>
            <w:shd w:val="clear" w:fill="ffffff"/>
            <w:tcMar>
              <w:top w:w="28" w:type="dxa"/>
              <w:left w:w="102" w:type="dxa"/>
              <w:bottom w:w="28" w:type="dxa"/>
              <w:right w:w="102" w:type="dxa"/>
            </w:tcMar>
            <w:vAlign w:val="center"/>
          </w:tcPr>
          <w:p>
            <w:pPr>
              <w:pStyle w:val="0"/>
              <w:widowControl w:val="off"/>
            </w:pPr>
            <w:r>
              <w:rPr>
                <w:rFonts w:ascii="Times New Roman"/>
                <w:b/>
                <w:sz w:val="24"/>
              </w:rPr>
              <w:t>Minimum Academic Requirements (level of education, relevant major):</w:t>
            </w:r>
          </w:p>
          <w:p>
            <w:pPr>
              <w:pStyle w:val="0"/>
              <w:widowControl w:val="off"/>
              <w:rPr>
                <w:rFonts w:ascii="Times New Roman"/>
                <w:color w:val="000000"/>
                <w:sz w:val="24"/>
              </w:rPr>
            </w:pPr>
          </w:p>
          <w:p>
            <w:pPr>
              <w:pStyle w:val="9"/>
              <w:widowControl w:val="off"/>
              <w:ind w:left="720" w:hanging="360"/>
              <w:numPr>
                <w:numId w:val="8"/>
                <w:ilvl w:val="0"/>
              </w:numPr>
            </w:pPr>
            <w:r>
              <w:rPr>
                <w:rFonts w:ascii="Times New Roman"/>
                <w:sz w:val="24"/>
              </w:rPr>
              <w:t>At least a bachelor’s degree in International Trade Law and/or Policy, Social Policy and Development, Economics, International Development, International Relations, Business Administration or a related field.</w:t>
            </w:r>
          </w:p>
          <w:p>
            <w:pPr>
              <w:pStyle w:val="9"/>
              <w:widowControl w:val="off"/>
              <w:ind w:left="0"/>
              <w:rPr>
                <w:rFonts w:ascii="Times New Roman"/>
                <w:color w:val="000000"/>
                <w:sz w:val="24"/>
              </w:rPr>
            </w:pPr>
          </w:p>
          <w:p>
            <w:pPr>
              <w:pStyle w:val="0"/>
              <w:widowControl w:val="off"/>
            </w:pPr>
            <w:r>
              <w:rPr>
                <w:rFonts w:ascii="Times New Roman"/>
                <w:b/>
                <w:sz w:val="24"/>
              </w:rPr>
              <w:t>General Professional Experience:</w:t>
            </w:r>
          </w:p>
          <w:p>
            <w:pPr>
              <w:pStyle w:val="0"/>
              <w:widowControl w:val="off"/>
              <w:rPr>
                <w:rFonts w:ascii="Times New Roman"/>
                <w:color w:val="000000"/>
                <w:sz w:val="24"/>
              </w:rPr>
            </w:pPr>
          </w:p>
          <w:p>
            <w:pPr>
              <w:pStyle w:val="9"/>
              <w:widowControl w:val="off"/>
              <w:ind w:left="720" w:hanging="360"/>
              <w:numPr>
                <w:numId w:val="8"/>
                <w:ilvl w:val="0"/>
              </w:numPr>
            </w:pPr>
            <w:r>
              <w:rPr>
                <w:rFonts w:ascii="Times New Roman"/>
                <w:sz w:val="24"/>
              </w:rPr>
              <w:t xml:space="preserve">Some relevant professional, internship, research or academic experience in an international, governmental, research or development-related environment would be an advantage; </w:t>
            </w:r>
          </w:p>
          <w:p>
            <w:pPr>
              <w:pStyle w:val="0"/>
              <w:widowControl w:val="off"/>
              <w:rPr>
                <w:rFonts w:ascii="Times New Roman"/>
                <w:color w:val="000000"/>
                <w:sz w:val="24"/>
              </w:rPr>
            </w:pPr>
          </w:p>
          <w:p>
            <w:pPr>
              <w:pStyle w:val="9"/>
              <w:widowControl w:val="off"/>
              <w:ind w:left="720" w:hanging="360"/>
              <w:numPr>
                <w:numId w:val="8"/>
                <w:ilvl w:val="0"/>
              </w:numPr>
            </w:pPr>
            <w:r>
              <w:rPr>
                <w:rFonts w:ascii="Times New Roman"/>
                <w:sz w:val="24"/>
              </w:rPr>
              <w:t xml:space="preserve">Experience or demonstrated ability in conducting research, preparing written materials and supporting the delivery of programmes or projects; </w:t>
            </w:r>
          </w:p>
          <w:p>
            <w:pPr>
              <w:pStyle w:val="0"/>
              <w:widowControl w:val="off"/>
              <w:rPr>
                <w:rFonts w:ascii="Times New Roman"/>
                <w:color w:val="000000"/>
                <w:sz w:val="24"/>
              </w:rPr>
            </w:pPr>
          </w:p>
          <w:p>
            <w:pPr>
              <w:pStyle w:val="9"/>
              <w:widowControl w:val="off"/>
              <w:ind w:left="720" w:hanging="360"/>
              <w:numPr>
                <w:numId w:val="8"/>
                <w:ilvl w:val="0"/>
              </w:numPr>
            </w:pPr>
            <w:r>
              <w:rPr>
                <w:rFonts w:ascii="Times New Roman"/>
                <w:sz w:val="24"/>
              </w:rPr>
              <w:t>Experience working or studying in a multicultural or international environment would be an advantage.</w:t>
            </w:r>
          </w:p>
          <w:p>
            <w:pPr>
              <w:pStyle w:val="0"/>
              <w:widowControl w:val="off"/>
              <w:rPr>
                <w:rFonts w:ascii="Times New Roman"/>
                <w:color w:val="4f81bd"/>
                <w:sz w:val="24"/>
              </w:rPr>
            </w:pPr>
          </w:p>
          <w:p>
            <w:pPr>
              <w:pStyle w:val="0"/>
              <w:widowControl w:val="off"/>
            </w:pPr>
            <w:r>
              <w:rPr>
                <w:rFonts w:ascii="Times New Roman"/>
                <w:b/>
                <w:sz w:val="24"/>
              </w:rPr>
              <w:t>Specific Professional Experience</w:t>
            </w:r>
          </w:p>
          <w:p>
            <w:pPr>
              <w:pStyle w:val="9"/>
              <w:widowControl w:val="off"/>
              <w:ind w:left="720"/>
              <w:rPr>
                <w:rFonts w:ascii="Times New Roman"/>
                <w:b/>
                <w:color w:val="000000"/>
                <w:sz w:val="24"/>
              </w:rPr>
            </w:pPr>
          </w:p>
          <w:p>
            <w:pPr>
              <w:pStyle w:val="9"/>
              <w:widowControl w:val="off"/>
              <w:spacing w:after="240"/>
              <w:ind w:left="720" w:hanging="360"/>
              <w:numPr>
                <w:numId w:val="8"/>
                <w:ilvl w:val="0"/>
              </w:numPr>
            </w:pPr>
            <w:r>
              <w:rPr>
                <w:rFonts w:ascii="Times New Roman"/>
                <w:sz w:val="24"/>
              </w:rPr>
              <w:t>Knowledge of or demonstrated interest in international trade, trade in services, regional integration and/or African economic integration;</w:t>
            </w:r>
          </w:p>
          <w:p>
            <w:pPr>
              <w:pStyle w:val="9"/>
              <w:widowControl w:val="off"/>
              <w:ind w:left="720" w:hanging="360"/>
              <w:numPr>
                <w:numId w:val="8"/>
                <w:ilvl w:val="0"/>
              </w:numPr>
            </w:pPr>
            <w:r>
              <w:rPr>
                <w:rFonts w:ascii="Times New Roman"/>
                <w:sz w:val="24"/>
              </w:rPr>
              <w:t>Experience in negotiations of trade agreements, particularly Trade in Services;</w:t>
            </w:r>
          </w:p>
          <w:p>
            <w:pPr>
              <w:pStyle w:val="0"/>
              <w:widowControl w:val="off"/>
              <w:rPr>
                <w:rFonts w:ascii="Times New Roman"/>
                <w:color w:val="000000"/>
                <w:sz w:val="24"/>
              </w:rPr>
            </w:pPr>
          </w:p>
          <w:p>
            <w:pPr>
              <w:pStyle w:val="9"/>
              <w:widowControl/>
              <w:pBdr>
                <w:top w:val="none" w:color="0a0000" w:sz="2" w:space="0"/>
                <w:left w:val="none" w:color="0a0000" w:sz="2" w:space="0"/>
                <w:bottom w:val="none" w:color="0a0000" w:sz="2" w:space="0"/>
                <w:right w:val="none" w:color="0a0000" w:sz="2" w:space="0"/>
              </w:pBdr>
              <w:wordWrap w:val="1"/>
              <w:autoSpaceDE/>
              <w:autoSpaceDN/>
              <w:spacing w:after="160" w:line="276"/>
              <w:ind w:left="720" w:hanging="360"/>
              <w:numPr>
                <w:numId w:val="8"/>
                <w:ilvl w:val="0"/>
              </w:numPr>
            </w:pPr>
            <w:r>
              <w:rPr>
                <w:rFonts w:ascii="Times New Roman"/>
                <w:sz w:val="24"/>
              </w:rPr>
              <w:t>Proven knowledge of Trade in Services and trade-related issues globally and in the context of Africa;</w:t>
            </w:r>
          </w:p>
          <w:p>
            <w:pPr>
              <w:pStyle w:val="9"/>
              <w:widowControl w:val="off"/>
              <w:spacing w:before="240" w:after="240"/>
              <w:ind w:left="720" w:hanging="360"/>
              <w:numPr>
                <w:numId w:val="8"/>
                <w:ilvl w:val="0"/>
              </w:numPr>
            </w:pPr>
            <w:r>
              <w:rPr>
                <w:rFonts w:ascii="Times New Roman"/>
                <w:sz w:val="24"/>
              </w:rPr>
              <w:t>Familiarity with regulatory cooperation, mutual recognition of professional qualifications, or related trade policy issues would be an advantage;</w:t>
            </w:r>
          </w:p>
          <w:p>
            <w:pPr>
              <w:pStyle w:val="9"/>
              <w:widowControl w:val="off"/>
              <w:ind w:left="720" w:hanging="360"/>
              <w:numPr>
                <w:numId w:val="8"/>
                <w:ilvl w:val="0"/>
              </w:numPr>
            </w:pPr>
            <w:r>
              <w:rPr>
                <w:rFonts w:ascii="Times New Roman"/>
                <w:sz w:val="24"/>
              </w:rPr>
              <w:t>Previous exposure to the work of international or regional organisations, including through internships, research or academic activities, would be an advantage.</w:t>
            </w:r>
          </w:p>
          <w:p>
            <w:pPr>
              <w:pStyle w:val="0"/>
              <w:widowControl w:val="off"/>
              <w:ind w:left="360"/>
              <w:rPr>
                <w:rFonts w:ascii="Times New Roman"/>
                <w:color w:val="000000"/>
                <w:sz w:val="24"/>
              </w:rPr>
            </w:pPr>
          </w:p>
          <w:p>
            <w:pPr>
              <w:pStyle w:val="0"/>
              <w:widowControl w:val="off"/>
              <w:rPr>
                <w:rFonts w:ascii="Times New Roman"/>
                <w:b/>
                <w:color w:val="000000"/>
                <w:sz w:val="24"/>
              </w:rPr>
            </w:pPr>
          </w:p>
          <w:p>
            <w:pPr>
              <w:pStyle w:val="0"/>
              <w:widowControl w:val="off"/>
            </w:pPr>
            <w:r>
              <w:rPr>
                <w:rFonts w:ascii="Times New Roman"/>
                <w:b/>
                <w:sz w:val="24"/>
              </w:rPr>
              <w:t>Key Competencies of the Assignment</w:t>
            </w:r>
          </w:p>
          <w:p>
            <w:pPr>
              <w:pStyle w:val="9"/>
              <w:widowControl w:val="off"/>
              <w:ind w:left="0"/>
              <w:rPr>
                <w:rFonts w:ascii="Times New Roman"/>
                <w:b/>
                <w:color w:val="000000"/>
                <w:sz w:val="24"/>
              </w:rPr>
            </w:pPr>
          </w:p>
          <w:p>
            <w:pPr>
              <w:pStyle w:val="9"/>
              <w:widowControl w:val="off"/>
              <w:ind w:left="720" w:hanging="360"/>
              <w:numPr>
                <w:numId w:val="9"/>
                <w:ilvl w:val="0"/>
              </w:numPr>
            </w:pPr>
            <w:r>
              <w:rPr>
                <w:rFonts w:ascii="Times New Roman"/>
                <w:sz w:val="24"/>
              </w:rPr>
              <w:t xml:space="preserve">Strong research, analytical and drafting skills; </w:t>
            </w:r>
          </w:p>
          <w:p>
            <w:pPr>
              <w:pStyle w:val="9"/>
              <w:widowControl w:val="off"/>
              <w:ind w:left="720" w:hanging="360"/>
              <w:numPr>
                <w:numId w:val="9"/>
                <w:ilvl w:val="0"/>
              </w:numPr>
            </w:pPr>
            <w:r>
              <w:rPr>
                <w:rFonts w:ascii="Times New Roman"/>
                <w:sz w:val="24"/>
              </w:rPr>
              <w:t xml:space="preserve">Good organisational skills and attention to detail; </w:t>
            </w:r>
          </w:p>
          <w:p>
            <w:pPr>
              <w:pStyle w:val="9"/>
              <w:widowControl w:val="off"/>
              <w:ind w:left="720" w:hanging="360"/>
              <w:numPr>
                <w:numId w:val="9"/>
                <w:ilvl w:val="0"/>
              </w:numPr>
            </w:pPr>
            <w:r>
              <w:rPr>
                <w:rFonts w:ascii="Times New Roman"/>
                <w:sz w:val="24"/>
              </w:rPr>
              <w:t xml:space="preserve">Ability to prepare clear and concise written materials; </w:t>
            </w:r>
          </w:p>
          <w:p>
            <w:pPr>
              <w:pStyle w:val="9"/>
              <w:widowControl w:val="off"/>
              <w:ind w:left="720" w:hanging="360"/>
              <w:numPr>
                <w:numId w:val="9"/>
                <w:ilvl w:val="0"/>
              </w:numPr>
            </w:pPr>
            <w:r>
              <w:rPr>
                <w:rFonts w:ascii="Times New Roman"/>
                <w:sz w:val="24"/>
              </w:rPr>
              <w:t xml:space="preserve">Ability to manage assigned tasks and meet agreed deadlines; </w:t>
            </w:r>
          </w:p>
          <w:p>
            <w:pPr>
              <w:pStyle w:val="9"/>
              <w:widowControl w:val="off"/>
              <w:ind w:left="720" w:hanging="360"/>
              <w:numPr>
                <w:numId w:val="9"/>
                <w:ilvl w:val="0"/>
              </w:numPr>
            </w:pPr>
            <w:r>
              <w:rPr>
                <w:rFonts w:ascii="Times New Roman"/>
                <w:sz w:val="24"/>
              </w:rPr>
              <w:t xml:space="preserve">Good interpersonal and communication skills and ability to work effectively in a multicultural environment; </w:t>
            </w:r>
          </w:p>
          <w:p>
            <w:pPr>
              <w:pStyle w:val="9"/>
              <w:widowControl w:val="off"/>
              <w:ind w:left="720" w:hanging="360"/>
              <w:numPr>
                <w:numId w:val="9"/>
                <w:ilvl w:val="0"/>
              </w:numPr>
            </w:pPr>
            <w:r>
              <w:rPr>
                <w:rFonts w:ascii="Times New Roman"/>
                <w:sz w:val="24"/>
              </w:rPr>
              <w:t xml:space="preserve">Proficiency in Microsoft Office applications, particularly Word, PowerPoint and Excel; </w:t>
            </w:r>
          </w:p>
          <w:p>
            <w:pPr>
              <w:pStyle w:val="9"/>
              <w:widowControl w:val="off"/>
              <w:ind w:left="720" w:hanging="360"/>
              <w:numPr>
                <w:numId w:val="9"/>
                <w:ilvl w:val="0"/>
              </w:numPr>
            </w:pPr>
            <w:r>
              <w:rPr>
                <w:rFonts w:ascii="Times New Roman"/>
                <w:sz w:val="24"/>
              </w:rPr>
              <w:t xml:space="preserve">Ability to work collaboratively as part of a team and to take guidance and feedback; and </w:t>
            </w:r>
          </w:p>
          <w:p>
            <w:pPr>
              <w:pStyle w:val="9"/>
              <w:widowControl w:val="off"/>
              <w:ind w:left="720" w:hanging="360"/>
              <w:numPr>
                <w:numId w:val="9"/>
                <w:ilvl w:val="0"/>
              </w:numPr>
            </w:pPr>
            <w:r>
              <w:rPr>
                <w:rFonts w:ascii="Times New Roman"/>
                <w:sz w:val="24"/>
              </w:rPr>
              <w:t>High standards of professionalism, integrity and discretion;</w:t>
            </w:r>
          </w:p>
          <w:p>
            <w:pPr>
              <w:pStyle w:val="9"/>
              <w:widowControl w:val="off"/>
              <w:ind w:left="720" w:hanging="360"/>
              <w:numPr>
                <w:numId w:val="9"/>
                <w:ilvl w:val="0"/>
              </w:numPr>
            </w:pPr>
            <w:r>
              <w:rPr>
                <w:rFonts w:ascii="Times New Roman"/>
                <w:sz w:val="24"/>
              </w:rPr>
              <w:t>Proficiency in English is required. Knowledge of French or another African Union working language would be an added advantage.</w:t>
            </w:r>
          </w:p>
        </w:tc>
      </w:tr>
    </w:tbl>
    <w:p>
      <w:pPr>
        <w:pStyle w:val="0"/>
        <w:widowControl w:val="off"/>
      </w:pPr>
    </w:p>
    <w:p>
      <w:pPr>
        <w:pStyle w:val="0"/>
        <w:widowControl w:val="off"/>
        <w:rPr>
          <w:rFonts w:ascii="Times New Roman"/>
          <w:color w:val="000000"/>
        </w:rPr>
      </w:pPr>
    </w:p>
    <w:p>
      <w:pPr>
        <w:pStyle w:val="0"/>
        <w:widowControl w:val="off"/>
      </w:pPr>
      <w:r>
        <w:rPr>
          <w:rFonts w:ascii="Times New Roman"/>
          <w:b/>
          <w:sz w:val="24"/>
        </w:rPr>
        <w:t>V. Background Information</w:t>
      </w:r>
    </w:p>
    <w:tbl>
      <w:tblPr>
        <w:tblOverlap w:val="never"/>
        <w:tblW w:w="9048" w:type="dxa"/>
        <w:tblBorders>
          <w:top w:val="none" w:color="000000" w:sz="3"/>
          <w:left w:val="none" w:color="000000" w:sz="3"/>
          <w:bottom w:val="none" w:color="000000" w:sz="3"/>
          <w:right w:val="none" w:color="000000" w:sz="3"/>
        </w:tblBorders>
        <w:shd w:val="clear" w:color="000000" w:fill="ffffff"/>
        <w:tblLayout w:type="fixed"/>
        <w:tblCellMar>
          <w:top w:w="15" w:type="dxa"/>
          <w:left w:w="15" w:type="dxa"/>
          <w:bottom w:w="15" w:type="dxa"/>
          <w:right w:w="15" w:type="dxa"/>
        </w:tblCellMar>
      </w:tblPr>
      <w:tblGrid>
        <w:gridCol w:w="9048"/>
      </w:tblGrid>
      <w:tr>
        <w:trPr>
          <w:trHeight w:val="1806"/>
        </w:trPr>
        <w:tc>
          <w:tcPr>
            <w:tcW w:w="9048" w:type="dxa"/>
            <w:tcBorders>
              <w:top w:val="single" w:color="000000" w:sz="2"/>
              <w:left w:val="single" w:color="000000" w:sz="2"/>
              <w:bottom w:val="single" w:color="000000" w:sz="2"/>
              <w:right w:val="single" w:color="000000" w:sz="2"/>
            </w:tcBorders>
            <w:shd w:val="clear" w:fill="ffffff"/>
            <w:tcMar>
              <w:top w:w="28" w:type="dxa"/>
              <w:left w:w="102" w:type="dxa"/>
              <w:bottom w:w="28" w:type="dxa"/>
              <w:right w:w="102" w:type="dxa"/>
            </w:tcMar>
            <w:vAlign w:val="center"/>
          </w:tcPr>
          <w:p>
            <w:pPr>
              <w:pStyle w:val="0"/>
              <w:widowControl w:val="off"/>
            </w:pPr>
            <w:r>
              <w:rPr>
                <w:rFonts w:ascii="Times New Roman"/>
                <w:sz w:val="24"/>
              </w:rPr>
              <w:t>The African Continental Free Trade Area (AfCFTA) is one of the flagship projects of the African Union Agenda 2063 and seeks to create a single African market for goods and services, thereby deepening continental economic integration. It is expected to be a key driver of Africa’s structural transformation and industrialisation, in line with Agenda 2063’s shared roadmap for inclusive and sustainable growth.</w:t>
            </w:r>
          </w:p>
          <w:p>
            <w:pPr>
              <w:pStyle w:val="0"/>
              <w:widowControl w:val="off"/>
              <w:rPr>
                <w:rFonts w:ascii="Times New Roman"/>
                <w:color w:val="000000"/>
                <w:sz w:val="24"/>
              </w:rPr>
            </w:pPr>
          </w:p>
          <w:p>
            <w:pPr>
              <w:pStyle w:val="0"/>
              <w:widowControl w:val="off"/>
            </w:pPr>
            <w:r>
              <w:rPr>
                <w:rFonts w:ascii="Times New Roman"/>
                <w:sz w:val="24"/>
              </w:rPr>
              <w:t>The Agreement Establishing the AfCFTA was signed on 21 March 2018 in Kigali, Rwanda, and entered into force on 30 May 2019, following the required number of ratifications. On 1 January 2021, trading under the AfCFTA was launched.</w:t>
            </w:r>
          </w:p>
          <w:p>
            <w:pPr>
              <w:pStyle w:val="0"/>
              <w:widowControl w:val="off"/>
              <w:rPr>
                <w:rFonts w:ascii="Times New Roman"/>
                <w:color w:val="000000"/>
                <w:sz w:val="24"/>
              </w:rPr>
            </w:pPr>
          </w:p>
          <w:p>
            <w:pPr>
              <w:pStyle w:val="0"/>
              <w:widowControl w:val="off"/>
            </w:pPr>
            <w:r>
              <w:rPr>
                <w:rFonts w:ascii="Times New Roman"/>
                <w:sz w:val="24"/>
              </w:rPr>
              <w:t xml:space="preserve">The Protocol on Trade in Services is one of the legal instruments of the Agreement Establishing the AfCFTA and provides the framework for the progressive liberalisation of trade in services among State Parties. Trade in services negotiations under the AfCFTA cover twelve (12) services sectors, comprising five (5) priority sectors </w:t>
            </w:r>
            <w:r>
              <w:rPr>
                <w:rFonts w:ascii="Times New Roman"/>
                <w:sz w:val="24"/>
              </w:rPr>
              <w:t>–</w:t>
            </w:r>
            <w:r>
              <w:rPr>
                <w:rFonts w:ascii="Times New Roman"/>
                <w:sz w:val="24"/>
              </w:rPr>
              <w:t xml:space="preserve"> </w:t>
            </w:r>
            <w:r>
              <w:rPr>
                <w:rFonts w:ascii="Times New Roman"/>
                <w:i/>
                <w:sz w:val="24"/>
              </w:rPr>
              <w:t>Business Services, Communication Services, Financial Services, Transport Services, and Tourism and Travel-related Services</w:t>
            </w:r>
            <w:r>
              <w:rPr>
                <w:rFonts w:ascii="Times New Roman"/>
                <w:sz w:val="24"/>
              </w:rPr>
              <w:t xml:space="preserve"> </w:t>
            </w:r>
            <w:r>
              <w:rPr>
                <w:rFonts w:ascii="Times New Roman"/>
                <w:sz w:val="24"/>
              </w:rPr>
              <w:t>–</w:t>
            </w:r>
            <w:r>
              <w:rPr>
                <w:rFonts w:ascii="Times New Roman"/>
                <w:sz w:val="24"/>
              </w:rPr>
              <w:t xml:space="preserve"> and seven (7) additional services sectors.</w:t>
            </w:r>
          </w:p>
          <w:p>
            <w:pPr>
              <w:pStyle w:val="0"/>
              <w:widowControl w:val="off"/>
              <w:rPr>
                <w:rFonts w:ascii="Times New Roman"/>
                <w:color w:val="000000"/>
                <w:sz w:val="24"/>
              </w:rPr>
            </w:pPr>
          </w:p>
          <w:p>
            <w:pPr>
              <w:pStyle w:val="0"/>
              <w:widowControl w:val="off"/>
            </w:pPr>
            <w:r>
              <w:rPr>
                <w:rFonts w:ascii="Times New Roman"/>
                <w:sz w:val="24"/>
              </w:rPr>
              <w:t>Across these services sectors, the Protocol on Trade in Services adopts a hybrid approach to liberalisation, whereby State Parties undertake market access commitments through Schedules of Specific Commitments (SSCs), complemented by Regulatory Cooperation Frameworks (RCFs) that promote cooperation on sector-specific regulatory issues. The Protocol also provides for the development of Sectoral and Mutual Recognition Arrangements (SMRAs) to facilitate cooperation among State Parties, including the recognition of qualifications and other relevant requirements, thereby supporting the mobility of professionals and the supply of services across AfCFTA markets.</w:t>
            </w:r>
          </w:p>
          <w:p>
            <w:pPr>
              <w:pStyle w:val="0"/>
              <w:widowControl w:val="off"/>
              <w:rPr>
                <w:rFonts w:ascii="Times New Roman"/>
                <w:color w:val="000000"/>
                <w:sz w:val="24"/>
              </w:rPr>
            </w:pPr>
          </w:p>
          <w:p>
            <w:pPr>
              <w:pStyle w:val="0"/>
              <w:widowControl w:val="off"/>
            </w:pPr>
            <w:r>
              <w:rPr>
                <w:rFonts w:ascii="Times New Roman"/>
                <w:sz w:val="24"/>
              </w:rPr>
              <w:t>At its 1st Meeting in January 2021, the AfCFTA Committee on Trade in Services adopted a Workplan to advance the outstanding work on trade in services, including the finalisation of negotiations on Schedules of Specific Commitments in the five priority services sectors. To date, twenty-five (25) Schedules of Specific Commitments have been adopted, marking significant progress in the liberalisation of trade in services under the AfCFTA.</w:t>
            </w:r>
          </w:p>
          <w:p>
            <w:pPr>
              <w:pStyle w:val="0"/>
              <w:widowControl w:val="off"/>
              <w:rPr>
                <w:rFonts w:ascii="Times New Roman"/>
                <w:color w:val="000000"/>
                <w:sz w:val="24"/>
              </w:rPr>
            </w:pPr>
          </w:p>
          <w:p>
            <w:pPr>
              <w:pStyle w:val="0"/>
              <w:widowControl w:val="off"/>
            </w:pPr>
            <w:r>
              <w:rPr>
                <w:rFonts w:ascii="Times New Roman"/>
                <w:sz w:val="24"/>
              </w:rPr>
              <w:t>Progress has also been made in advancing regulatory cooperation and mutual recognition under the Protocol on Trade in Services. Regulatory Cooperation Frameworks (RCFs) have been developed across the five priority services sectors and are at various stages of finalisation and implementation. In parallel, Draft Guidelines for the Development of Sectoral and Mutual Recognition Arrangements (SMRAs) have been developed and will be considered and negotiated by State Parties.</w:t>
            </w:r>
          </w:p>
          <w:p>
            <w:pPr>
              <w:pStyle w:val="0"/>
              <w:widowControl w:val="off"/>
            </w:pPr>
            <w:r>
              <w:rPr>
                <w:rFonts w:ascii="Times New Roman"/>
                <w:sz w:val="24"/>
              </w:rPr>
              <w:t>The AfCFTA Secretariat, headquartered in Accra, Ghana, is responsible for supporting and coordinating the implementation of the AfCFTA Agreement in collaboration with State Parties and other relevant stakeholders. Within this institutional framework, the Trade in Services Division provides technical support to State Parties in the implementation of the Protocol on Trade in Services and the advancement of the broader AfCFTA services agenda, which encompasses a range of programmes and initiatives aimed at facilitating trade in services across the continent. This includes supporting negotiations and implementation of commitments, advancing regulatory cooperation across services sectors, and facilitating work towards sectoral and mutual recognition in relevant sectors, alongside other programmes and initiatives under the broader AfCFTA trade in services agenda.</w:t>
            </w:r>
          </w:p>
          <w:p>
            <w:pPr>
              <w:pStyle w:val="0"/>
              <w:widowControl w:val="off"/>
              <w:rPr>
                <w:rFonts w:ascii="Times New Roman"/>
                <w:color w:val="000000"/>
                <w:sz w:val="24"/>
              </w:rPr>
            </w:pPr>
          </w:p>
          <w:p>
            <w:pPr>
              <w:pStyle w:val="0"/>
              <w:widowControl w:val="off"/>
            </w:pPr>
            <w:r>
              <w:rPr>
                <w:rFonts w:ascii="Times New Roman"/>
                <w:sz w:val="24"/>
              </w:rPr>
              <w:t>Against this background, the assignment will provide additional support to the work of the Trade in Services Division, particularly in relation to Regulatory Cooperation Frameworks and Sectoral and Mutual Recognition Arrangements, while providing the YPA with practical experience in trade in services and African economic integration within the context of the AfCFTA.</w:t>
            </w:r>
          </w:p>
          <w:p>
            <w:pPr>
              <w:pStyle w:val="0"/>
              <w:widowControl w:val="off"/>
              <w:rPr>
                <w:rFonts w:ascii="Times New Roman"/>
                <w:color w:val="000000"/>
                <w:sz w:val="24"/>
              </w:rPr>
            </w:pPr>
          </w:p>
        </w:tc>
      </w:tr>
    </w:tbl>
    <w:p>
      <w:pPr>
        <w:pStyle w:val="0"/>
        <w:widowControl w:val="off"/>
      </w:pPr>
    </w:p>
    <w:p>
      <w:pPr>
        <w:pStyle w:val="0"/>
        <w:widowControl w:val="off"/>
        <w:rPr>
          <w:rFonts w:ascii="Times New Roman"/>
          <w:b/>
          <w:color w:val="000000"/>
          <w:sz w:val="24"/>
        </w:rPr>
      </w:pPr>
    </w:p>
    <w:p>
      <w:pPr>
        <w:pStyle w:val="0"/>
        <w:widowControl w:val="off"/>
      </w:pPr>
      <w:r>
        <w:rPr>
          <w:rFonts w:ascii="Times New Roman"/>
          <w:b/>
          <w:sz w:val="24"/>
        </w:rPr>
        <w:t xml:space="preserve">VI. Agency’s Support for YPA  </w:t>
      </w:r>
    </w:p>
    <w:tbl>
      <w:tblPr>
        <w:tblOverlap w:val="never"/>
        <w:tblW w:w="9048" w:type="dxa"/>
        <w:tblBorders>
          <w:top w:val="none" w:color="000000" w:sz="3"/>
          <w:left w:val="none" w:color="000000" w:sz="3"/>
          <w:bottom w:val="none" w:color="000000" w:sz="3"/>
          <w:right w:val="none" w:color="000000" w:sz="3"/>
        </w:tblBorders>
        <w:shd w:val="clear" w:color="000000" w:fill="ffffff"/>
        <w:tblLayout w:type="fixed"/>
        <w:tblCellMar>
          <w:top w:w="15" w:type="dxa"/>
          <w:left w:w="15" w:type="dxa"/>
          <w:bottom w:w="15" w:type="dxa"/>
          <w:right w:w="15" w:type="dxa"/>
        </w:tblCellMar>
      </w:tblPr>
      <w:tblGrid>
        <w:gridCol w:w="9048"/>
      </w:tblGrid>
      <w:tr>
        <w:trPr>
          <w:trHeight w:val="1806"/>
        </w:trPr>
        <w:tc>
          <w:tcPr>
            <w:tcW w:w="9048" w:type="dxa"/>
            <w:tcBorders>
              <w:top w:val="single" w:color="000000" w:sz="2"/>
              <w:left w:val="single" w:color="000000" w:sz="2"/>
              <w:bottom w:val="single" w:color="000000" w:sz="2"/>
              <w:right w:val="single" w:color="000000" w:sz="2"/>
            </w:tcBorders>
            <w:shd w:val="clear" w:fill="ffffff"/>
            <w:tcMar>
              <w:top w:w="28" w:type="dxa"/>
              <w:left w:w="102" w:type="dxa"/>
              <w:bottom w:w="28" w:type="dxa"/>
              <w:right w:w="102" w:type="dxa"/>
            </w:tcMar>
            <w:vAlign w:val="center"/>
          </w:tcPr>
          <w:p>
            <w:pPr>
              <w:pStyle w:val="0"/>
              <w:widowControl w:val="off"/>
              <w:rPr>
                <w:rFonts w:ascii="Times New Roman"/>
                <w:color w:val="000000"/>
                <w:shd w:val="clear" w:color="000000" w:fill="ffffff"/>
              </w:rPr>
            </w:pPr>
          </w:p>
          <w:p>
            <w:pPr>
              <w:pStyle w:val="0"/>
              <w:widowControl w:val="off"/>
            </w:pPr>
            <w:r>
              <w:rPr>
                <w:rFonts w:ascii="Times New Roman"/>
                <w:b/>
                <w:sz w:val="24"/>
              </w:rPr>
              <w:t>Required visa type and Issuance Process:</w:t>
            </w:r>
          </w:p>
          <w:p>
            <w:pPr>
              <w:pStyle w:val="0"/>
              <w:widowControl w:val="off"/>
              <w:rPr>
                <w:rFonts w:ascii="Times New Roman"/>
                <w:b/>
                <w:color w:val="000000"/>
                <w:sz w:val="24"/>
              </w:rPr>
            </w:pPr>
          </w:p>
          <w:p>
            <w:pPr>
              <w:pStyle w:val="0"/>
              <w:widowControl w:val="off"/>
            </w:pPr>
            <w:r>
              <w:rPr>
                <w:rFonts w:ascii="Times New Roman"/>
                <w:sz w:val="24"/>
              </w:rPr>
              <w:t>The AfCFTA Secretariat, through its Protocol Division, will provide the necessary administrative support to facilitate the YPA’s entry into and stay in Ghana for the duration of the assignment, in accordance with applicable requirements. The Protocol Division will support the YPA in obtaining the necessary visa and other relevant immigration and residency documentation, including facilitating the required processes with the appropriate authorities</w:t>
            </w:r>
            <w:r>
              <w:rPr>
                <w:rFonts w:ascii="Times New Roman"/>
              </w:rPr>
              <w:t>.</w:t>
            </w:r>
          </w:p>
          <w:p>
            <w:pPr>
              <w:pStyle w:val="0"/>
              <w:widowControl w:val="off"/>
              <w:rPr>
                <w:rFonts w:ascii="Times New Roman" w:eastAsia="Palatino Linotype"/>
                <w:color w:val="000000"/>
                <w:sz w:val="24"/>
              </w:rPr>
            </w:pPr>
          </w:p>
          <w:p>
            <w:pPr>
              <w:pStyle w:val="0"/>
              <w:widowControl w:val="off"/>
            </w:pPr>
            <w:r>
              <w:rPr>
                <w:rFonts w:ascii="Times New Roman"/>
                <w:b/>
                <w:sz w:val="24"/>
              </w:rPr>
              <w:t>Work/duty Orientation:</w:t>
            </w:r>
            <w:r>
              <w:br/>
            </w:r>
          </w:p>
          <w:p>
            <w:pPr>
              <w:pStyle w:val="9"/>
              <w:widowControl w:val="off"/>
              <w:ind w:left="720" w:hanging="360"/>
              <w:numPr>
                <w:numId w:val="10"/>
                <w:ilvl w:val="0"/>
              </w:numPr>
            </w:pPr>
            <w:r>
              <w:rPr>
                <w:rFonts w:ascii="Times New Roman"/>
                <w:sz w:val="24"/>
              </w:rPr>
              <w:t xml:space="preserve">Provide an induction and orientation on the AfCFTA Secretariat, its mandate, organisational structure, internal procedures and workplace practices; </w:t>
            </w:r>
          </w:p>
          <w:p>
            <w:pPr>
              <w:pStyle w:val="9"/>
              <w:widowControl w:val="off"/>
              <w:ind w:left="720"/>
              <w:rPr>
                <w:rFonts w:ascii="Times New Roman"/>
                <w:color w:val="000000"/>
                <w:sz w:val="24"/>
              </w:rPr>
            </w:pPr>
          </w:p>
          <w:p>
            <w:pPr>
              <w:pStyle w:val="9"/>
              <w:widowControl w:val="off"/>
              <w:ind w:left="720" w:hanging="360"/>
              <w:numPr>
                <w:numId w:val="10"/>
                <w:ilvl w:val="0"/>
              </w:numPr>
            </w:pPr>
            <w:r>
              <w:rPr>
                <w:rFonts w:ascii="Times New Roman"/>
                <w:sz w:val="24"/>
              </w:rPr>
              <w:t>Provide an introduction to the Trade in Services Division, its work programme and the YPA’s assigned responsibilities;</w:t>
            </w:r>
          </w:p>
          <w:p>
            <w:pPr>
              <w:pStyle w:val="0"/>
              <w:widowControl w:val="off"/>
              <w:rPr>
                <w:rFonts w:ascii="Times New Roman"/>
                <w:color w:val="000000"/>
                <w:sz w:val="24"/>
              </w:rPr>
            </w:pPr>
          </w:p>
          <w:p>
            <w:pPr>
              <w:pStyle w:val="9"/>
              <w:widowControl w:val="off"/>
              <w:ind w:left="720" w:hanging="360"/>
              <w:numPr>
                <w:numId w:val="10"/>
                <w:ilvl w:val="0"/>
              </w:numPr>
            </w:pPr>
            <w:r>
              <w:rPr>
                <w:rFonts w:ascii="Times New Roman"/>
                <w:sz w:val="24"/>
              </w:rPr>
              <w:t xml:space="preserve">Provide the necessary office space, equipment, internet access and other resources required to undertake the assignment; and </w:t>
            </w:r>
          </w:p>
          <w:p>
            <w:pPr>
              <w:pStyle w:val="0"/>
              <w:widowControl w:val="off"/>
              <w:rPr>
                <w:rFonts w:ascii="Times New Roman"/>
                <w:color w:val="000000"/>
                <w:sz w:val="24"/>
              </w:rPr>
            </w:pPr>
          </w:p>
          <w:p>
            <w:pPr>
              <w:pStyle w:val="9"/>
              <w:widowControl w:val="off"/>
              <w:ind w:left="720" w:hanging="360"/>
              <w:numPr>
                <w:numId w:val="10"/>
                <w:ilvl w:val="0"/>
              </w:numPr>
            </w:pPr>
            <w:r>
              <w:rPr>
                <w:rFonts w:ascii="Times New Roman"/>
                <w:sz w:val="24"/>
              </w:rPr>
              <w:t>Facilitate introductions to relevant officers and teams within the Secretariat to support the YPA’s integration into the working environment.</w:t>
            </w:r>
          </w:p>
          <w:p>
            <w:pPr>
              <w:pStyle w:val="0"/>
              <w:widowControl w:val="off"/>
              <w:rPr>
                <w:rFonts w:ascii="Times New Roman" w:eastAsia="Palatino Linotype"/>
                <w:color w:val="000000"/>
                <w:sz w:val="24"/>
              </w:rPr>
            </w:pPr>
          </w:p>
          <w:p>
            <w:pPr>
              <w:pStyle w:val="0"/>
              <w:widowControl w:val="off"/>
            </w:pPr>
            <w:r>
              <w:rPr>
                <w:rFonts w:ascii="Times New Roman"/>
                <w:b/>
                <w:sz w:val="24"/>
              </w:rPr>
              <w:t>Individual Development and Capacity Building:</w:t>
            </w:r>
            <w:r>
              <w:br/>
            </w:r>
          </w:p>
          <w:p>
            <w:pPr>
              <w:pStyle w:val="9"/>
              <w:widowControl w:val="off"/>
              <w:ind w:left="720" w:hanging="360"/>
              <w:numPr>
                <w:numId w:val="10"/>
                <w:ilvl w:val="0"/>
              </w:numPr>
            </w:pPr>
            <w:r>
              <w:rPr>
                <w:rFonts w:ascii="Times New Roman"/>
                <w:sz w:val="24"/>
              </w:rPr>
              <w:t xml:space="preserve">Provide on-the-job learning and mentoring through the YPA’s participation in the day-to-day work of the Trade in Services Division; </w:t>
            </w:r>
          </w:p>
          <w:p>
            <w:pPr>
              <w:pStyle w:val="9"/>
              <w:widowControl w:val="off"/>
              <w:ind w:left="720" w:hanging="360"/>
              <w:numPr>
                <w:numId w:val="10"/>
                <w:ilvl w:val="0"/>
              </w:numPr>
            </w:pPr>
            <w:r>
              <w:rPr>
                <w:rFonts w:ascii="Times New Roman"/>
                <w:sz w:val="24"/>
              </w:rPr>
              <w:t xml:space="preserve">Provide opportunities to participate in relevant technical meetings, workshops, consultations and other activities relating to Trade in Services, where appropriate; </w:t>
            </w:r>
          </w:p>
          <w:p>
            <w:pPr>
              <w:pStyle w:val="0"/>
              <w:widowControl w:val="off"/>
              <w:ind w:left="360"/>
              <w:rPr>
                <w:rFonts w:ascii="Times New Roman"/>
                <w:color w:val="000000"/>
                <w:sz w:val="24"/>
              </w:rPr>
            </w:pPr>
          </w:p>
          <w:p>
            <w:pPr>
              <w:pStyle w:val="9"/>
              <w:widowControl w:val="off"/>
              <w:ind w:left="720" w:hanging="360"/>
              <w:numPr>
                <w:numId w:val="10"/>
                <w:ilvl w:val="0"/>
              </w:numPr>
            </w:pPr>
            <w:r>
              <w:rPr>
                <w:rFonts w:ascii="Times New Roman"/>
                <w:sz w:val="24"/>
              </w:rPr>
              <w:t xml:space="preserve">Provide guidance and feedback on research, drafting and other assigned tasks to strengthen the YPA’s technical and professional skills; and </w:t>
            </w:r>
          </w:p>
          <w:p>
            <w:pPr>
              <w:pStyle w:val="0"/>
              <w:widowControl w:val="off"/>
              <w:rPr>
                <w:rFonts w:ascii="Times New Roman"/>
                <w:color w:val="000000"/>
                <w:sz w:val="24"/>
              </w:rPr>
            </w:pPr>
          </w:p>
          <w:p>
            <w:pPr>
              <w:pStyle w:val="9"/>
              <w:widowControl w:val="off"/>
              <w:ind w:left="720" w:hanging="360"/>
              <w:numPr>
                <w:numId w:val="10"/>
                <w:ilvl w:val="0"/>
              </w:numPr>
            </w:pPr>
            <w:r>
              <w:rPr>
                <w:rFonts w:ascii="Times New Roman"/>
                <w:sz w:val="24"/>
              </w:rPr>
              <w:t>Facilitate broader learning and exposure to the work of the AfCFTA Secretariat and African economic integration, where opportunities arise.</w:t>
            </w:r>
          </w:p>
        </w:tc>
      </w:tr>
    </w:tbl>
    <w:p>
      <w:pPr>
        <w:pStyle w:val="0"/>
        <w:widowControl w:val="off"/>
      </w:pPr>
    </w:p>
    <w:p>
      <w:pPr>
        <w:pStyle w:val="0"/>
        <w:widowControl w:val="off"/>
        <w:rPr>
          <w:rFonts w:ascii="Times New Roman"/>
          <w:b/>
          <w:color w:val="000000"/>
          <w:sz w:val="24"/>
        </w:rPr>
      </w:pPr>
    </w:p>
    <w:sectPr>
      <w:headerReference r:id="rId1" w:type="default"/>
      <w:footnotePr>
        <w:numFmt w:val="decimal"/>
        <w:numRestart w:val="continuous"/>
      </w:footnotePr>
      <w:endnotePr>
        <w:pos w:val="docEnd"/>
        <w:numFmt w:val="lowerRoman"/>
        <w:numRestart w:val="continuous"/>
      </w:endnotePr>
      <w:pgSz w:w="11906" w:h="16838"/>
      <w:pgMar w:top="1701" w:right="1440" w:bottom="1440" w:left="1440" w:header="851" w:footer="992" w:gutter="0"/>
      <w:cols w:space="0"/>
    </w:sectPr>
  </w:body>
</w:document>
</file>

<file path=word/header11.xml><?xml version="1.0" encoding="utf-8"?>
<w:hdr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p>
    <w:pPr>
      <w:pStyle w:val="16"/>
      <w:widowControl w:val="off"/>
      <w:jc w:val="right"/>
      <w:rPr>
        <w:rFonts w:ascii="Palatino Linotype"/>
        <w:color w:val="000000"/>
      </w:rPr>
    </w:pPr>
  </w:p>
</w:hdr>
</file>

<file path=word/numbering.xml><?xml version="1.0" encoding="utf-8"?>
<w:numbering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abstractNum w:abstractNumId="4">
    <w:multiLevelType w:val="multilevel"/>
    <w:lvl w:ilvl="0">
      <w:start w:val="1"/>
      <w:numFmt w:val="decimal"/>
      <w:suff w:val="tab"/>
      <w:lvlText w:val="·"/>
      <w:lvlJc w:val="left"/>
      <w:rPr>
        <w:rFonts w:ascii="Symbol" w:hAnsi="Symbol" w:eastAsia="한컴바탕"/>
        <w:color w:val="000000"/>
        <w:sz w:val="20"/>
      </w:rPr>
    </w:lvl>
    <w:lvl w:ilvl="1">
      <w:start w:val="1"/>
      <w:numFmt w:val="decimal"/>
      <w:suff w:val="tab"/>
      <w:lvlText w:val="o"/>
      <w:lvlJc w:val="left"/>
      <w:rPr>
        <w:rFonts w:ascii="Courier New" w:hAnsi="Courier New" w:eastAsia="한컴바탕"/>
        <w:color w:val="000000"/>
        <w:sz w:val="20"/>
      </w:rPr>
    </w:lvl>
    <w:lvl w:ilvl="2">
      <w:start w:val="1"/>
      <w:numFmt w:val="decimal"/>
      <w:suff w:val="tab"/>
      <w:lvlText w:val=""/>
      <w:lvlJc w:val="left"/>
      <w:rPr>
        <w:rFonts w:ascii="Wingdings" w:hAnsi="Wingdings" w:eastAsia="한컴바탕"/>
        <w:color w:val="000000"/>
        <w:sz w:val="20"/>
      </w:rPr>
    </w:lvl>
    <w:lvl w:ilvl="3">
      <w:start w:val="1"/>
      <w:numFmt w:val="decimal"/>
      <w:suff w:val="tab"/>
      <w:lvlText w:val="·"/>
      <w:lvlJc w:val="left"/>
      <w:rPr>
        <w:rFonts w:ascii="Symbol" w:hAnsi="Symbol" w:eastAsia="한컴바탕"/>
        <w:color w:val="000000"/>
        <w:sz w:val="20"/>
      </w:rPr>
    </w:lvl>
    <w:lvl w:ilvl="4">
      <w:start w:val="1"/>
      <w:numFmt w:val="decimal"/>
      <w:suff w:val="tab"/>
      <w:lvlText w:val="o"/>
      <w:lvlJc w:val="left"/>
      <w:rPr>
        <w:rFonts w:ascii="Courier New" w:hAnsi="Courier New" w:eastAsia="한컴바탕"/>
        <w:color w:val="000000"/>
        <w:sz w:val="20"/>
      </w:rPr>
    </w:lvl>
    <w:lvl w:ilvl="5">
      <w:start w:val="1"/>
      <w:numFmt w:val="decimal"/>
      <w:suff w:val="tab"/>
      <w:lvlText w:val=""/>
      <w:lvlJc w:val="left"/>
      <w:rPr>
        <w:rFonts w:ascii="Wingdings" w:hAnsi="Wingdings" w:eastAsia="한컴바탕"/>
        <w:color w:val="000000"/>
        <w:sz w:val="20"/>
      </w:rPr>
    </w:lvl>
    <w:lvl w:ilvl="6">
      <w:start w:val="1"/>
      <w:numFmt w:val="decimal"/>
      <w:suff w:val="tab"/>
      <w:lvlText w:val="·"/>
      <w:lvlJc w:val="left"/>
      <w:rPr>
        <w:rFonts w:ascii="Symbol" w:hAnsi="Symbol" w:eastAsia="한컴바탕"/>
        <w:color w:val="000000"/>
        <w:sz w:val="20"/>
      </w:rPr>
    </w:lvl>
  </w:abstractNum>
  <w:abstractNum w:abstractNumId="5">
    <w:multiLevelType w:val="multilevel"/>
    <w:lvl w:ilvl="0">
      <w:start w:val="1"/>
      <w:numFmt w:val="decimal"/>
      <w:suff w:val="tab"/>
      <w:lvlText w:val="·"/>
      <w:lvlJc w:val="left"/>
      <w:rPr>
        <w:rFonts w:ascii="Symbol" w:hAnsi="Symbol" w:eastAsia="한컴바탕"/>
        <w:color w:val="000000"/>
        <w:sz w:val="20"/>
      </w:rPr>
    </w:lvl>
    <w:lvl w:ilvl="1">
      <w:start w:val="1"/>
      <w:numFmt w:val="decimal"/>
      <w:suff w:val="tab"/>
      <w:lvlText w:val="o"/>
      <w:lvlJc w:val="left"/>
      <w:rPr>
        <w:rFonts w:ascii="Courier New" w:hAnsi="Courier New" w:eastAsia="한컴바탕"/>
        <w:color w:val="000000"/>
        <w:sz w:val="20"/>
      </w:rPr>
    </w:lvl>
    <w:lvl w:ilvl="2">
      <w:start w:val="1"/>
      <w:numFmt w:val="decimal"/>
      <w:suff w:val="tab"/>
      <w:lvlText w:val=""/>
      <w:lvlJc w:val="left"/>
      <w:rPr>
        <w:rFonts w:ascii="Wingdings" w:hAnsi="Wingdings" w:eastAsia="한컴바탕"/>
        <w:color w:val="000000"/>
        <w:sz w:val="20"/>
      </w:rPr>
    </w:lvl>
    <w:lvl w:ilvl="3">
      <w:start w:val="1"/>
      <w:numFmt w:val="decimal"/>
      <w:suff w:val="tab"/>
      <w:lvlText w:val=""/>
      <w:lvlJc w:val="left"/>
      <w:rPr>
        <w:rFonts w:ascii="Wingdings" w:hAnsi="Wingdings" w:eastAsia="한컴바탕"/>
        <w:color w:val="000000"/>
        <w:sz w:val="20"/>
      </w:rPr>
    </w:lvl>
    <w:lvl w:ilvl="4">
      <w:start w:val="1"/>
      <w:numFmt w:val="decimal"/>
      <w:suff w:val="tab"/>
      <w:lvlText w:val=""/>
      <w:lvlJc w:val="left"/>
      <w:rPr>
        <w:rFonts w:ascii="Wingdings" w:hAnsi="Wingdings" w:eastAsia="한컴바탕"/>
        <w:color w:val="000000"/>
        <w:sz w:val="20"/>
      </w:rPr>
    </w:lvl>
    <w:lvl w:ilvl="5">
      <w:start w:val="1"/>
      <w:numFmt w:val="decimal"/>
      <w:suff w:val="tab"/>
      <w:lvlText w:val=""/>
      <w:lvlJc w:val="left"/>
      <w:rPr>
        <w:rFonts w:ascii="Wingdings" w:hAnsi="Wingdings" w:eastAsia="한컴바탕"/>
        <w:color w:val="000000"/>
        <w:sz w:val="20"/>
      </w:rPr>
    </w:lvl>
    <w:lvl w:ilvl="6">
      <w:start w:val="1"/>
      <w:numFmt w:val="decimal"/>
      <w:suff w:val="tab"/>
      <w:lvlText w:val=""/>
      <w:lvlJc w:val="left"/>
      <w:rPr>
        <w:rFonts w:ascii="Wingdings" w:hAnsi="Wingdings" w:eastAsia="한컴바탕"/>
        <w:color w:val="000000"/>
        <w:sz w:val="20"/>
      </w:rPr>
    </w:lvl>
  </w:abstractNum>
  <w:abstractNum w:abstractNumId="6">
    <w:multiLevelType w:val="multilevel"/>
    <w:lvl w:ilvl="0">
      <w:start w:val="1"/>
      <w:numFmt w:val="decimal"/>
      <w:suff w:val="tab"/>
      <w:lvlText w:val="·"/>
      <w:lvlJc w:val="left"/>
      <w:rPr>
        <w:rFonts w:ascii="Symbol" w:hAnsi="Symbol" w:eastAsia="한컴바탕"/>
        <w:color w:val="000000"/>
        <w:sz w:val="20"/>
      </w:rPr>
    </w:lvl>
    <w:lvl w:ilvl="1">
      <w:start w:val="1"/>
      <w:numFmt w:val="decimal"/>
      <w:suff w:val="tab"/>
      <w:lvlText w:val="o"/>
      <w:lvlJc w:val="left"/>
      <w:rPr>
        <w:rFonts w:ascii="Courier New" w:hAnsi="Courier New" w:eastAsia="한컴바탕"/>
        <w:color w:val="000000"/>
        <w:sz w:val="20"/>
      </w:rPr>
    </w:lvl>
    <w:lvl w:ilvl="2">
      <w:start w:val="1"/>
      <w:numFmt w:val="decimal"/>
      <w:suff w:val="tab"/>
      <w:lvlText w:val=""/>
      <w:lvlJc w:val="left"/>
      <w:rPr>
        <w:rFonts w:ascii="Wingdings" w:hAnsi="Wingdings" w:eastAsia="한컴바탕"/>
        <w:color w:val="000000"/>
        <w:sz w:val="20"/>
      </w:rPr>
    </w:lvl>
    <w:lvl w:ilvl="3">
      <w:start w:val="1"/>
      <w:numFmt w:val="decimal"/>
      <w:suff w:val="tab"/>
      <w:lvlText w:val="·"/>
      <w:lvlJc w:val="left"/>
      <w:rPr>
        <w:rFonts w:ascii="Symbol" w:hAnsi="Symbol" w:eastAsia="한컴바탕"/>
        <w:color w:val="000000"/>
        <w:sz w:val="20"/>
      </w:rPr>
    </w:lvl>
    <w:lvl w:ilvl="4">
      <w:start w:val="1"/>
      <w:numFmt w:val="decimal"/>
      <w:suff w:val="tab"/>
      <w:lvlText w:val="o"/>
      <w:lvlJc w:val="left"/>
      <w:rPr>
        <w:rFonts w:ascii="Courier New" w:hAnsi="Courier New" w:eastAsia="한컴바탕"/>
        <w:color w:val="000000"/>
        <w:sz w:val="20"/>
      </w:rPr>
    </w:lvl>
    <w:lvl w:ilvl="5">
      <w:start w:val="1"/>
      <w:numFmt w:val="decimal"/>
      <w:suff w:val="tab"/>
      <w:lvlText w:val=""/>
      <w:lvlJc w:val="left"/>
      <w:rPr>
        <w:rFonts w:ascii="Wingdings" w:hAnsi="Wingdings" w:eastAsia="한컴바탕"/>
        <w:color w:val="000000"/>
        <w:sz w:val="20"/>
      </w:rPr>
    </w:lvl>
    <w:lvl w:ilvl="6">
      <w:start w:val="1"/>
      <w:numFmt w:val="decimal"/>
      <w:suff w:val="tab"/>
      <w:lvlText w:val="·"/>
      <w:lvlJc w:val="left"/>
      <w:rPr>
        <w:rFonts w:ascii="Symbol" w:hAnsi="Symbol" w:eastAsia="한컴바탕"/>
        <w:color w:val="000000"/>
        <w:sz w:val="20"/>
      </w:rPr>
    </w:lvl>
  </w:abstractNum>
  <w:abstractNum w:abstractNumId="7">
    <w:multiLevelType w:val="multilevel"/>
    <w:lvl w:ilvl="0">
      <w:start w:val="1"/>
      <w:numFmt w:val="decimal"/>
      <w:suff w:val="tab"/>
      <w:lvlText w:val="·"/>
      <w:lvlJc w:val="left"/>
      <w:rPr>
        <w:rFonts w:ascii="Symbol" w:hAnsi="Symbol" w:eastAsia="한컴바탕"/>
        <w:color w:val="000000"/>
        <w:sz w:val="20"/>
      </w:rPr>
    </w:lvl>
    <w:lvl w:ilvl="1">
      <w:start w:val="1"/>
      <w:numFmt w:val="decimal"/>
      <w:suff w:val="tab"/>
      <w:lvlText w:val="o"/>
      <w:lvlJc w:val="left"/>
      <w:rPr>
        <w:rFonts w:ascii="Courier New" w:hAnsi="Courier New" w:eastAsia="한컴바탕"/>
        <w:color w:val="000000"/>
        <w:sz w:val="20"/>
      </w:rPr>
    </w:lvl>
    <w:lvl w:ilvl="2">
      <w:start w:val="1"/>
      <w:numFmt w:val="decimal"/>
      <w:suff w:val="tab"/>
      <w:lvlText w:val=""/>
      <w:lvlJc w:val="left"/>
      <w:rPr>
        <w:rFonts w:ascii="Wingdings" w:hAnsi="Wingdings" w:eastAsia="한컴바탕"/>
        <w:color w:val="000000"/>
        <w:sz w:val="20"/>
      </w:rPr>
    </w:lvl>
    <w:lvl w:ilvl="3">
      <w:start w:val="1"/>
      <w:numFmt w:val="decimal"/>
      <w:suff w:val="tab"/>
      <w:lvlText w:val="·"/>
      <w:lvlJc w:val="left"/>
      <w:rPr>
        <w:rFonts w:ascii="Symbol" w:hAnsi="Symbol" w:eastAsia="한컴바탕"/>
        <w:color w:val="000000"/>
        <w:sz w:val="20"/>
      </w:rPr>
    </w:lvl>
    <w:lvl w:ilvl="4">
      <w:start w:val="1"/>
      <w:numFmt w:val="decimal"/>
      <w:suff w:val="tab"/>
      <w:lvlText w:val="o"/>
      <w:lvlJc w:val="left"/>
      <w:rPr>
        <w:rFonts w:ascii="Courier New" w:hAnsi="Courier New" w:eastAsia="한컴바탕"/>
        <w:color w:val="000000"/>
        <w:sz w:val="20"/>
      </w:rPr>
    </w:lvl>
    <w:lvl w:ilvl="5">
      <w:start w:val="1"/>
      <w:numFmt w:val="decimal"/>
      <w:suff w:val="tab"/>
      <w:lvlText w:val=""/>
      <w:lvlJc w:val="left"/>
      <w:rPr>
        <w:rFonts w:ascii="Wingdings" w:hAnsi="Wingdings" w:eastAsia="한컴바탕"/>
        <w:color w:val="000000"/>
        <w:sz w:val="20"/>
      </w:rPr>
    </w:lvl>
    <w:lvl w:ilvl="6">
      <w:start w:val="1"/>
      <w:numFmt w:val="decimal"/>
      <w:suff w:val="tab"/>
      <w:lvlText w:val="·"/>
      <w:lvlJc w:val="left"/>
      <w:rPr>
        <w:rFonts w:ascii="Symbol" w:hAnsi="Symbol" w:eastAsia="한컴바탕"/>
        <w:color w:val="000000"/>
        <w:sz w:val="20"/>
      </w:rPr>
    </w:lvl>
  </w:abstractNum>
  <w:abstractNum w:abstractNumId="8">
    <w:multiLevelType w:val="multilevel"/>
    <w:lvl w:ilvl="0">
      <w:start w:val="1"/>
      <w:numFmt w:val="decimal"/>
      <w:suff w:val="tab"/>
      <w:lvlText w:val="·"/>
      <w:lvlJc w:val="left"/>
      <w:rPr>
        <w:rFonts w:ascii="Symbol" w:hAnsi="Symbol" w:eastAsia="한컴바탕"/>
        <w:color w:val="000000"/>
        <w:sz w:val="20"/>
      </w:rPr>
    </w:lvl>
    <w:lvl w:ilvl="1">
      <w:start w:val="1"/>
      <w:numFmt w:val="decimal"/>
      <w:suff w:val="tab"/>
      <w:lvlText w:val="o"/>
      <w:lvlJc w:val="left"/>
      <w:rPr>
        <w:rFonts w:ascii="Courier New" w:hAnsi="Courier New" w:eastAsia="한컴바탕"/>
        <w:color w:val="000000"/>
        <w:sz w:val="20"/>
      </w:rPr>
    </w:lvl>
    <w:lvl w:ilvl="2">
      <w:start w:val="1"/>
      <w:numFmt w:val="decimal"/>
      <w:suff w:val="tab"/>
      <w:lvlText w:val=""/>
      <w:lvlJc w:val="left"/>
      <w:rPr>
        <w:rFonts w:ascii="Wingdings" w:hAnsi="Wingdings" w:eastAsia="한컴바탕"/>
        <w:color w:val="000000"/>
        <w:sz w:val="20"/>
      </w:rPr>
    </w:lvl>
    <w:lvl w:ilvl="3">
      <w:start w:val="1"/>
      <w:numFmt w:val="decimal"/>
      <w:suff w:val="tab"/>
      <w:lvlText w:val="·"/>
      <w:lvlJc w:val="left"/>
      <w:rPr>
        <w:rFonts w:ascii="Symbol" w:hAnsi="Symbol" w:eastAsia="한컴바탕"/>
        <w:color w:val="000000"/>
        <w:sz w:val="20"/>
      </w:rPr>
    </w:lvl>
    <w:lvl w:ilvl="4">
      <w:start w:val="1"/>
      <w:numFmt w:val="decimal"/>
      <w:suff w:val="tab"/>
      <w:lvlText w:val="o"/>
      <w:lvlJc w:val="left"/>
      <w:rPr>
        <w:rFonts w:ascii="Courier New" w:hAnsi="Courier New" w:eastAsia="한컴바탕"/>
        <w:color w:val="000000"/>
        <w:sz w:val="20"/>
      </w:rPr>
    </w:lvl>
    <w:lvl w:ilvl="5">
      <w:start w:val="1"/>
      <w:numFmt w:val="decimal"/>
      <w:suff w:val="tab"/>
      <w:lvlText w:val=""/>
      <w:lvlJc w:val="left"/>
      <w:rPr>
        <w:rFonts w:ascii="Wingdings" w:hAnsi="Wingdings" w:eastAsia="한컴바탕"/>
        <w:color w:val="000000"/>
        <w:sz w:val="20"/>
      </w:rPr>
    </w:lvl>
    <w:lvl w:ilvl="6">
      <w:start w:val="1"/>
      <w:numFmt w:val="decimal"/>
      <w:suff w:val="tab"/>
      <w:lvlText w:val="·"/>
      <w:lvlJc w:val="left"/>
      <w:rPr>
        <w:rFonts w:ascii="Symbol" w:hAnsi="Symbol" w:eastAsia="한컴바탕"/>
        <w:color w:val="000000"/>
        <w:sz w:val="20"/>
      </w:rPr>
    </w:lvl>
  </w:abstractNum>
  <w:abstractNum w:abstractNumId="9">
    <w:multiLevelType w:val="multilevel"/>
    <w:lvl w:ilvl="0">
      <w:start w:val="1"/>
      <w:numFmt w:val="decimal"/>
      <w:suff w:val="tab"/>
      <w:lvlText w:val="·"/>
      <w:lvlJc w:val="left"/>
      <w:rPr>
        <w:rFonts w:ascii="Symbol" w:hAnsi="Symbol" w:eastAsia="한컴바탕"/>
        <w:color w:val="000000"/>
        <w:sz w:val="20"/>
      </w:rPr>
    </w:lvl>
    <w:lvl w:ilvl="1">
      <w:start w:val="1"/>
      <w:numFmt w:val="decimal"/>
      <w:suff w:val="tab"/>
      <w:lvlText w:val="o"/>
      <w:lvlJc w:val="left"/>
      <w:rPr>
        <w:rFonts w:ascii="Courier New" w:hAnsi="Courier New" w:eastAsia="한컴바탕"/>
        <w:color w:val="000000"/>
        <w:sz w:val="20"/>
      </w:rPr>
    </w:lvl>
    <w:lvl w:ilvl="2">
      <w:start w:val="1"/>
      <w:numFmt w:val="decimal"/>
      <w:suff w:val="tab"/>
      <w:lvlText w:val=""/>
      <w:lvlJc w:val="left"/>
      <w:rPr>
        <w:rFonts w:ascii="Wingdings" w:hAnsi="Wingdings" w:eastAsia="한컴바탕"/>
        <w:color w:val="000000"/>
        <w:sz w:val="20"/>
      </w:rPr>
    </w:lvl>
    <w:lvl w:ilvl="3">
      <w:start w:val="1"/>
      <w:numFmt w:val="decimal"/>
      <w:suff w:val="tab"/>
      <w:lvlText w:val="·"/>
      <w:lvlJc w:val="left"/>
      <w:rPr>
        <w:rFonts w:ascii="Symbol" w:hAnsi="Symbol" w:eastAsia="한컴바탕"/>
        <w:color w:val="000000"/>
        <w:sz w:val="20"/>
      </w:rPr>
    </w:lvl>
    <w:lvl w:ilvl="4">
      <w:start w:val="1"/>
      <w:numFmt w:val="decimal"/>
      <w:suff w:val="tab"/>
      <w:lvlText w:val="o"/>
      <w:lvlJc w:val="left"/>
      <w:rPr>
        <w:rFonts w:ascii="Courier New" w:hAnsi="Courier New" w:eastAsia="한컴바탕"/>
        <w:color w:val="000000"/>
        <w:sz w:val="20"/>
      </w:rPr>
    </w:lvl>
    <w:lvl w:ilvl="5">
      <w:start w:val="1"/>
      <w:numFmt w:val="decimal"/>
      <w:suff w:val="tab"/>
      <w:lvlText w:val=""/>
      <w:lvlJc w:val="left"/>
      <w:rPr>
        <w:rFonts w:ascii="Wingdings" w:hAnsi="Wingdings" w:eastAsia="한컴바탕"/>
        <w:color w:val="000000"/>
        <w:sz w:val="20"/>
      </w:rPr>
    </w:lvl>
    <w:lvl w:ilvl="6">
      <w:start w:val="1"/>
      <w:numFmt w:val="decimal"/>
      <w:suff w:val="tab"/>
      <w:lvlText w:val="·"/>
      <w:lvlJc w:val="left"/>
      <w:rPr>
        <w:rFonts w:ascii="Symbol" w:hAnsi="Symbol" w:eastAsia="한컴바탕"/>
        <w:color w:val="000000"/>
        <w:sz w:val="20"/>
      </w:rPr>
    </w:lvl>
  </w:abstractNum>
  <w:abstractNum w:abstractNumId="10">
    <w:multiLevelType w:val="multilevel"/>
    <w:lvl w:ilvl="0">
      <w:start w:val="1"/>
      <w:numFmt w:val="decimal"/>
      <w:suff w:val="tab"/>
      <w:lvlText w:val="·"/>
      <w:lvlJc w:val="left"/>
      <w:rPr>
        <w:rFonts w:ascii="Symbol" w:hAnsi="Symbol" w:eastAsia="한컴바탕"/>
        <w:color w:val="000000"/>
        <w:sz w:val="20"/>
      </w:rPr>
    </w:lvl>
    <w:lvl w:ilvl="1">
      <w:start w:val="1"/>
      <w:numFmt w:val="decimal"/>
      <w:suff w:val="tab"/>
      <w:lvlText w:val="o"/>
      <w:lvlJc w:val="left"/>
      <w:rPr>
        <w:rFonts w:ascii="Courier New" w:hAnsi="Courier New" w:eastAsia="한컴바탕"/>
        <w:color w:val="000000"/>
        <w:sz w:val="20"/>
      </w:rPr>
    </w:lvl>
    <w:lvl w:ilvl="2">
      <w:start w:val="1"/>
      <w:numFmt w:val="decimal"/>
      <w:suff w:val="tab"/>
      <w:lvlText w:val=""/>
      <w:lvlJc w:val="left"/>
      <w:rPr>
        <w:rFonts w:ascii="Wingdings" w:hAnsi="Wingdings" w:eastAsia="한컴바탕"/>
        <w:color w:val="000000"/>
        <w:sz w:val="20"/>
      </w:rPr>
    </w:lvl>
    <w:lvl w:ilvl="3">
      <w:start w:val="1"/>
      <w:numFmt w:val="decimal"/>
      <w:suff w:val="tab"/>
      <w:lvlText w:val="·"/>
      <w:lvlJc w:val="left"/>
      <w:rPr>
        <w:rFonts w:ascii="Symbol" w:hAnsi="Symbol" w:eastAsia="한컴바탕"/>
        <w:color w:val="000000"/>
        <w:sz w:val="20"/>
      </w:rPr>
    </w:lvl>
    <w:lvl w:ilvl="4">
      <w:start w:val="1"/>
      <w:numFmt w:val="decimal"/>
      <w:suff w:val="tab"/>
      <w:lvlText w:val="o"/>
      <w:lvlJc w:val="left"/>
      <w:rPr>
        <w:rFonts w:ascii="Courier New" w:hAnsi="Courier New" w:eastAsia="한컴바탕"/>
        <w:color w:val="000000"/>
        <w:sz w:val="20"/>
      </w:rPr>
    </w:lvl>
    <w:lvl w:ilvl="5">
      <w:start w:val="1"/>
      <w:numFmt w:val="decimal"/>
      <w:suff w:val="tab"/>
      <w:lvlText w:val=""/>
      <w:lvlJc w:val="left"/>
      <w:rPr>
        <w:rFonts w:ascii="Wingdings" w:hAnsi="Wingdings" w:eastAsia="한컴바탕"/>
        <w:color w:val="000000"/>
        <w:sz w:val="20"/>
      </w:rPr>
    </w:lvl>
    <w:lvl w:ilvl="6">
      <w:start w:val="1"/>
      <w:numFmt w:val="decimal"/>
      <w:suff w:val="tab"/>
      <w:lvlText w:val="·"/>
      <w:lvlJc w:val="left"/>
      <w:rPr>
        <w:rFonts w:ascii="Symbol" w:hAnsi="Symbol" w:eastAsia="한컴바탕"/>
        <w:color w:val="000000"/>
        <w:sz w:val="20"/>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zoom w:percent="145"/>
  <w:bordersDoNotSurroundHeader/>
  <w:bordersDoNotSurroundFooter/>
  <w:stylePaneFormatFilter w:val="0001"/>
  <w:defaultTabStop w:val="800"/>
  <w:compat>
    <w:spaceForUL/>
    <w:balanceSingleByteDoubleByteWidth/>
    <w:doNotLeaveBackslashAlone/>
    <w:ulTrailSpace/>
    <w:doNotExpandShiftReturn/>
    <w:adjustLineHeightInTable/>
    <w:useFELayout/>
  </w:compat>
</w:settings>
</file>

<file path=word/styles.xml><?xml version="1.0" encoding="utf-8"?>
<w:styles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style w:type="paragraph" w:styleId="0" w:default="1">
    <w:name w:val="Normal"/>
    <w:uiPriority w:val="0"/>
    <w:pPr>
      <w:widowControl w:val="off"/>
      <w:pBdr>
        <w:top w:val="none" w:color="000000" w:sz="2" w:space="1"/>
        <w:left w:val="none" w:color="000000" w:sz="2" w:space="4"/>
        <w:bottom w:val="none" w:color="000000" w:sz="2" w:space="1"/>
        <w:right w:val="none" w:color="000000" w:sz="2" w:space="4"/>
      </w:pBdr>
      <w:wordWrap w:val="0"/>
      <w:autoSpaceDE w:val="off"/>
      <w:autoSpaceDN w:val="off"/>
      <w:snapToGrid/>
      <w:spacing w:before="0" w:after="0" w:line="240" w:lineRule="auto"/>
      <w:ind w:left="0" w:right="0" w:firstLine="0"/>
      <w:jc w:val="both"/>
      <w:textAlignment w:val="baseline"/>
    </w:pPr>
    <w:rPr>
      <w:rFonts w:ascii="Malgun Gothic" w:eastAsia="Malgun Gothic"/>
      <w:color w:val="000000"/>
      <w:kern w:val="1"/>
      <w:sz w:val="20"/>
    </w:rPr>
  </w:style>
  <w:style w:type="paragraph" w:styleId="1">
    <w:name w:val="Balloon Text"/>
    <w:uiPriority w:val="1"/>
    <w:pPr>
      <w:widowControl w:val="off"/>
      <w:pBdr>
        <w:top w:val="none" w:color="000000" w:sz="2" w:space="0"/>
        <w:left w:val="none" w:color="000000" w:sz="2" w:space="0"/>
        <w:bottom w:val="none" w:color="000000" w:sz="2" w:space="0"/>
        <w:right w:val="none" w:color="000000" w:sz="2" w:space="0"/>
      </w:pBdr>
      <w:wordWrap w:val="0"/>
      <w:autoSpaceDE w:val="off"/>
      <w:autoSpaceDN w:val="off"/>
      <w:snapToGrid/>
      <w:spacing w:before="0" w:after="0" w:line="240" w:lineRule="auto"/>
      <w:ind w:left="0" w:right="0" w:firstLine="0"/>
      <w:jc w:val="both"/>
      <w:textAlignment w:val="baseline"/>
    </w:pPr>
    <w:rPr>
      <w:rFonts w:ascii="Malgun Gothic" w:eastAsia="Malgun Gothic"/>
      <w:color w:val="000000"/>
      <w:kern w:val="1"/>
      <w:sz w:val="18"/>
    </w:rPr>
  </w:style>
  <w:style w:type="character" w:styleId="2">
    <w:name w:val="Balloon Text Char"/>
    <w:uiPriority w:val="2"/>
    <w:rPr>
      <w:rFonts w:ascii="Malgun Gothic" w:eastAsia="Malgun Gothic"/>
      <w:color w:val="000000"/>
      <w:kern w:val="1"/>
      <w:sz w:val="18"/>
    </w:rPr>
  </w:style>
  <w:style w:type="character" w:styleId="3">
    <w:name w:val="Comment Subject Char"/>
    <w:uiPriority w:val="3"/>
    <w:rPr>
      <w:rFonts w:ascii="Malgun Gothic" w:eastAsia="Malgun Gothic"/>
      <w:b/>
      <w:color w:val="000000"/>
      <w:kern w:val="1"/>
      <w:sz w:val="20"/>
    </w:rPr>
  </w:style>
  <w:style w:type="character" w:styleId="4">
    <w:name w:val="Comment Text Char"/>
    <w:uiPriority w:val="4"/>
    <w:rPr>
      <w:rFonts w:ascii="Malgun Gothic" w:eastAsia="Malgun Gothic"/>
      <w:color w:val="000000"/>
      <w:kern w:val="1"/>
      <w:sz w:val="20"/>
    </w:rPr>
  </w:style>
  <w:style w:type="character" w:styleId="5">
    <w:name w:val="Default Paragraph Font"/>
    <w:uiPriority w:val="5"/>
    <w:rPr>
      <w:rFonts w:ascii="맑은 고딕" w:eastAsia="맑은 고딕"/>
      <w:color w:val="000000"/>
      <w:kern w:val="1"/>
      <w:sz w:val="20"/>
    </w:rPr>
  </w:style>
  <w:style w:type="character" w:styleId="6">
    <w:name w:val="Footer Char"/>
    <w:uiPriority w:val="6"/>
    <w:rPr>
      <w:rFonts w:ascii="Malgun Gothic" w:eastAsia="Malgun Gothic"/>
      <w:color w:val="000000"/>
      <w:kern w:val="1"/>
      <w:sz w:val="20"/>
    </w:rPr>
  </w:style>
  <w:style w:type="character" w:styleId="7">
    <w:name w:val="Header Char"/>
    <w:uiPriority w:val="7"/>
    <w:rPr>
      <w:rFonts w:ascii="Malgun Gothic" w:eastAsia="Malgun Gothic"/>
      <w:color w:val="000000"/>
      <w:kern w:val="1"/>
      <w:sz w:val="20"/>
    </w:rPr>
  </w:style>
  <w:style w:type="character" w:styleId="8">
    <w:name w:val="Hyperlink"/>
    <w:uiPriority w:val="8"/>
    <w:rPr>
      <w:rFonts w:ascii="Malgun Gothic" w:eastAsia="Malgun Gothic"/>
      <w:color w:val="0000ff"/>
      <w:kern w:val="1"/>
      <w:sz w:val="20"/>
      <w:u w:val="single" w:color="0000ff"/>
    </w:rPr>
  </w:style>
  <w:style w:type="paragraph" w:styleId="9">
    <w:name w:val="List Paragraph"/>
    <w:uiPriority w:val="9"/>
    <w:pPr>
      <w:widowControl w:val="off"/>
      <w:pBdr>
        <w:top w:val="none" w:color="000000" w:sz="2" w:space="1"/>
        <w:left w:val="none" w:color="000000" w:sz="2" w:space="4"/>
        <w:bottom w:val="none" w:color="000000" w:sz="2" w:space="1"/>
        <w:right w:val="none" w:color="000000" w:sz="2" w:space="4"/>
      </w:pBdr>
      <w:wordWrap w:val="0"/>
      <w:autoSpaceDE w:val="off"/>
      <w:autoSpaceDN w:val="off"/>
      <w:snapToGrid/>
      <w:spacing w:before="0" w:after="0" w:line="240" w:lineRule="auto"/>
      <w:ind w:left="800" w:right="0" w:firstLine="0"/>
      <w:jc w:val="both"/>
      <w:textAlignment w:val="baseline"/>
    </w:pPr>
    <w:rPr>
      <w:rFonts w:ascii="Malgun Gothic" w:eastAsia="Malgun Gothic"/>
      <w:color w:val="000000"/>
      <w:kern w:val="1"/>
      <w:sz w:val="20"/>
    </w:rPr>
  </w:style>
  <w:style w:type="character" w:styleId="10">
    <w:name w:val="List Paragraph Char"/>
    <w:uiPriority w:val="10"/>
    <w:rPr>
      <w:rFonts w:ascii="Malgun Gothic" w:eastAsia="Malgun Gothic"/>
      <w:color w:val="000000"/>
      <w:kern w:val="1"/>
      <w:sz w:val="20"/>
    </w:rPr>
  </w:style>
  <w:style w:type="paragraph" w:styleId="11">
    <w:name w:val="No List"/>
    <w:uiPriority w:val="11"/>
    <w:pPr>
      <w:widowControl w:val="off"/>
      <w:pBdr>
        <w:top w:val="none" w:color="000000" w:sz="2" w:space="1"/>
        <w:left w:val="none" w:color="000000" w:sz="2" w:space="4"/>
        <w:bottom w:val="none" w:color="000000" w:sz="2" w:space="1"/>
        <w:right w:val="none" w:color="000000" w:sz="2" w:space="4"/>
      </w:pBdr>
      <w:wordWrap w:val="1"/>
      <w:autoSpaceDE w:val="off"/>
      <w:autoSpaceDN w:val="off"/>
      <w:snapToGrid/>
      <w:spacing w:before="0" w:after="160" w:line="254" w:lineRule="auto"/>
      <w:ind w:left="0" w:right="0" w:firstLine="0"/>
      <w:jc w:val="both"/>
      <w:textAlignment w:val="baseline"/>
    </w:pPr>
    <w:rPr>
      <w:rFonts w:ascii="맑은 고딕" w:eastAsia="맑은 고딕"/>
      <w:color w:val="000000"/>
      <w:kern w:val="1"/>
      <w:sz w:val="20"/>
    </w:rPr>
  </w:style>
  <w:style w:type="character" w:styleId="12">
    <w:name w:val="annotation reference"/>
    <w:uiPriority w:val="12"/>
    <w:rPr>
      <w:rFonts w:ascii="Malgun Gothic" w:eastAsia="Malgun Gothic"/>
      <w:color w:val="000000"/>
      <w:kern w:val="1"/>
      <w:sz w:val="18"/>
    </w:rPr>
  </w:style>
  <w:style w:type="paragraph" w:styleId="13">
    <w:name w:val="annotation subject"/>
    <w:uiPriority w:val="13"/>
    <w:pPr>
      <w:widowControl w:val="off"/>
      <w:pBdr>
        <w:top w:val="none" w:color="000000" w:sz="2" w:space="0"/>
        <w:left w:val="none" w:color="000000" w:sz="2" w:space="0"/>
        <w:bottom w:val="none" w:color="000000" w:sz="2" w:space="0"/>
        <w:right w:val="none" w:color="000000" w:sz="2" w:space="0"/>
      </w:pBdr>
      <w:wordWrap w:val="0"/>
      <w:autoSpaceDE w:val="off"/>
      <w:autoSpaceDN w:val="off"/>
      <w:snapToGrid/>
      <w:spacing w:before="0" w:after="0" w:line="240" w:lineRule="auto"/>
      <w:ind w:left="0" w:right="0" w:firstLine="0"/>
      <w:jc w:val="left"/>
      <w:textAlignment w:val="baseline"/>
    </w:pPr>
    <w:rPr>
      <w:rFonts w:ascii="Malgun Gothic" w:eastAsia="Malgun Gothic"/>
      <w:b/>
      <w:color w:val="000000"/>
      <w:kern w:val="1"/>
      <w:sz w:val="20"/>
    </w:rPr>
  </w:style>
  <w:style w:type="paragraph" w:styleId="14">
    <w:name w:val="annotation text"/>
    <w:uiPriority w:val="14"/>
    <w:pPr>
      <w:widowControl w:val="off"/>
      <w:pBdr>
        <w:top w:val="none" w:color="000000" w:sz="2" w:space="1"/>
        <w:left w:val="none" w:color="000000" w:sz="2" w:space="4"/>
        <w:bottom w:val="none" w:color="000000" w:sz="2" w:space="1"/>
        <w:right w:val="none" w:color="000000" w:sz="2" w:space="4"/>
      </w:pBdr>
      <w:wordWrap w:val="0"/>
      <w:autoSpaceDE w:val="off"/>
      <w:autoSpaceDN w:val="off"/>
      <w:snapToGrid/>
      <w:spacing w:before="0" w:after="0" w:line="240" w:lineRule="auto"/>
      <w:ind w:left="0" w:right="0" w:firstLine="0"/>
      <w:jc w:val="left"/>
      <w:textAlignment w:val="baseline"/>
    </w:pPr>
    <w:rPr>
      <w:rFonts w:ascii="Malgun Gothic" w:eastAsia="Malgun Gothic"/>
      <w:color w:val="000000"/>
      <w:kern w:val="1"/>
      <w:sz w:val="20"/>
    </w:rPr>
  </w:style>
  <w:style w:type="paragraph" w:styleId="15">
    <w:name w:val="footer"/>
    <w:uiPriority w:val="15"/>
    <w:pPr>
      <w:widowControl w:val="off"/>
      <w:pBdr>
        <w:top w:val="none" w:color="000000" w:sz="2" w:space="1"/>
        <w:left w:val="none" w:color="000000" w:sz="2" w:space="4"/>
        <w:bottom w:val="none" w:color="000000" w:sz="2" w:space="1"/>
        <w:right w:val="none" w:color="000000" w:sz="2" w:space="4"/>
      </w:pBdr>
      <w:tabs>
        <w:tab w:val="center" w:leader="none" w:pos="4513"/>
        <w:tab w:val="right" w:leader="none" w:pos="9026"/>
      </w:tabs>
      <w:wordWrap w:val="0"/>
      <w:autoSpaceDE w:val="off"/>
      <w:autoSpaceDN w:val="off"/>
      <w:snapToGrid w:val="off"/>
      <w:spacing w:before="0" w:after="0" w:line="240" w:lineRule="auto"/>
      <w:ind w:left="0" w:right="0" w:firstLine="0"/>
      <w:jc w:val="both"/>
      <w:textAlignment w:val="baseline"/>
    </w:pPr>
    <w:rPr>
      <w:rFonts w:ascii="Malgun Gothic" w:eastAsia="Malgun Gothic"/>
      <w:color w:val="000000"/>
      <w:kern w:val="1"/>
      <w:sz w:val="20"/>
    </w:rPr>
  </w:style>
  <w:style w:type="paragraph" w:styleId="16">
    <w:name w:val="header"/>
    <w:uiPriority w:val="16"/>
    <w:pPr>
      <w:widowControl w:val="off"/>
      <w:pBdr>
        <w:top w:val="none" w:color="000000" w:sz="2" w:space="1"/>
        <w:left w:val="none" w:color="000000" w:sz="2" w:space="4"/>
        <w:bottom w:val="none" w:color="000000" w:sz="2" w:space="1"/>
        <w:right w:val="none" w:color="000000" w:sz="2" w:space="4"/>
      </w:pBdr>
      <w:tabs>
        <w:tab w:val="center" w:leader="none" w:pos="4513"/>
        <w:tab w:val="right" w:leader="none" w:pos="9026"/>
      </w:tabs>
      <w:wordWrap w:val="0"/>
      <w:autoSpaceDE w:val="off"/>
      <w:autoSpaceDN w:val="off"/>
      <w:snapToGrid w:val="off"/>
      <w:spacing w:before="0" w:after="0" w:line="240" w:lineRule="auto"/>
      <w:ind w:left="0" w:right="0" w:firstLine="0"/>
      <w:jc w:val="both"/>
      <w:textAlignment w:val="baseline"/>
    </w:pPr>
    <w:rPr>
      <w:rFonts w:ascii="Malgun Gothic" w:eastAsia="Malgun Gothic"/>
      <w:color w:val="000000"/>
      <w:kern w:val="1"/>
      <w:sz w:val="20"/>
    </w:rPr>
  </w:style>
  <w:style w:type="paragraph" w:styleId="17">
    <w:name w:val="목록 없음1"/>
    <w:uiPriority w:val="17"/>
    <w:pPr>
      <w:widowControl w:val="off"/>
      <w:pBdr>
        <w:top w:val="none" w:color="000000" w:sz="2" w:space="0"/>
        <w:left w:val="none" w:color="000000" w:sz="2" w:space="0"/>
        <w:bottom w:val="none" w:color="000000" w:sz="2" w:space="0"/>
        <w:right w:val="none" w:color="000000" w:sz="2" w:space="0"/>
      </w:pBdr>
      <w:wordWrap w:val="1"/>
      <w:autoSpaceDE w:val="off"/>
      <w:autoSpaceDN w:val="off"/>
      <w:snapToGrid/>
      <w:spacing w:before="0" w:after="0" w:line="240" w:lineRule="auto"/>
      <w:ind w:left="0" w:right="0" w:firstLine="0"/>
      <w:jc w:val="left"/>
      <w:textAlignment w:val="baseline"/>
    </w:pPr>
    <w:rPr>
      <w:rFonts w:ascii="Malgun Gothic" w:eastAsia="Malgun Gothic"/>
      <w:color w:val="000000"/>
      <w:kern w:val="1"/>
      <w:sz w:val="20"/>
    </w:rPr>
  </w:style>
  <w:style w:type="paragraph" w:styleId="18">
    <w:name w:val="바탕글1"/>
    <w:uiPriority w:val="18"/>
    <w:pPr>
      <w:widowControl w:val="off"/>
      <w:pBdr>
        <w:top w:val="none" w:color="000000" w:sz="2" w:space="1"/>
        <w:left w:val="none" w:color="000000" w:sz="2" w:space="4"/>
        <w:bottom w:val="none" w:color="000000" w:sz="2" w:space="1"/>
        <w:right w:val="none" w:color="000000" w:sz="2" w:space="4"/>
      </w:pBdr>
      <w:wordWrap w:val="1"/>
      <w:autoSpaceDE w:val="off"/>
      <w:autoSpaceDN w:val="off"/>
      <w:snapToGrid w:val="off"/>
      <w:spacing w:before="0" w:after="0" w:line="384" w:lineRule="auto"/>
      <w:ind w:left="0" w:right="0" w:firstLine="0"/>
      <w:jc w:val="both"/>
      <w:textAlignment w:val="baseline"/>
    </w:pPr>
    <w:rPr>
      <w:rFonts w:ascii="Batang" w:eastAsia="Batang"/>
      <w:color w:val="000000"/>
      <w:kern w:val="1"/>
      <w:sz w:val="20"/>
    </w:rPr>
  </w:style>
</w:styles>
</file>

<file path=word/_rels/document.xml.rels><?xml version="1.0" encoding="UTF-8" standalone="yes" ?><Relationships xmlns="http://schemas.openxmlformats.org/package/2006/relationships"><Relationship Id="rId1" Type="http://schemas.openxmlformats.org/officeDocument/2006/relationships/header" Target="header11.xml"  /><Relationship Id="rId2" Type="http://schemas.openxmlformats.org/officeDocument/2006/relationships/settings" Target="settings.xml"  /><Relationship Id="rId3" Type="http://schemas.openxmlformats.org/officeDocument/2006/relationships/styles" Target="styles.xml"  /><Relationship Id="rId4" Type="http://schemas.openxmlformats.org/officeDocument/2006/relationships/numbering" Target="numbering.xml"  /></Relationships>
</file>

<file path=docProps/app.xml><?xml version="1.0" encoding="utf-8"?>
<ep:Properties xmlns:r="http://schemas.openxmlformats.org/officeDocument/2006/relationships" xmlns:ep="http://schemas.openxmlformats.org/officeDocument/2006/extended-properties" xmlns:vt="http://schemas.openxmlformats.org/officeDocument/2006/docPropsVTypes">
  <ep:Application>Hancom Office Hanword</ep:Application>
  <ep:AppVersion>0500.0500.01</ep:AppVersion>
</ep:Properties>
</file>

<file path=docProps/core.xml><?xml version="1.0" encoding="utf-8"?>
<cp:coreProperties xmlns:r="http://schemas.openxmlformats.org/officeDocument/2006/relationships" xmlns:cp="http://schemas.openxmlformats.org/package/2006/metadata/core-properties" xmlns:dc="http://purl.org/dc/elements/1.1/" xmlns:dcterms="http://purl.org/dc/terms/" xmlns:dcmitype="http://purl.org/dc/dcmitype/" xmlns:xsi="http://www.w3.org/2001/XMLSchema-instance">
  <dc:creator>Sohee Park</dc:creator>
  <cp:lastModifiedBy>sklee25</cp:lastModifiedBy>
  <dcterms:created xsi:type="dcterms:W3CDTF">2026-08-18T07:03:00.000</dcterms:created>
  <dcterms:modified xsi:type="dcterms:W3CDTF">2026-09-09T01:05:05.510</dcterms:modified>
</cp:coreProperties>
</file>